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73735060"/>
        <w:docPartObj>
          <w:docPartGallery w:val="Cover Pages"/>
          <w:docPartUnique/>
        </w:docPartObj>
      </w:sdtPr>
      <w:sdtEndPr>
        <w:rPr>
          <w:rFonts w:eastAsia="Times New Roman"/>
        </w:rPr>
      </w:sdtEndPr>
      <w:sdtContent>
        <w:p w:rsidR="00586DB9" w:rsidRDefault="00586DB9">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71052B" w:rsidRDefault="0071052B">
                                      <w:pPr>
                                        <w:pStyle w:val="NoSpacing"/>
                                        <w:spacing w:before="120"/>
                                        <w:jc w:val="center"/>
                                        <w:rPr>
                                          <w:color w:val="FFFFFF" w:themeColor="background1"/>
                                        </w:rPr>
                                      </w:pPr>
                                      <w:r>
                                        <w:rPr>
                                          <w:color w:val="FFFFFF" w:themeColor="background1"/>
                                        </w:rPr>
                                        <w:t>Academic Year 2019-20 v1.0</w:t>
                                      </w:r>
                                    </w:p>
                                  </w:sdtContent>
                                </w:sdt>
                                <w:p w:rsidR="0071052B" w:rsidRDefault="0071052B">
                                  <w:pPr>
                                    <w:pStyle w:val="NoSpacing"/>
                                    <w:spacing w:before="120"/>
                                    <w:jc w:val="center"/>
                                    <w:rPr>
                                      <w:color w:val="FFFFFF" w:themeColor="background1"/>
                                    </w:rPr>
                                  </w:pPr>
                                  <w:r>
                                    <w:rPr>
                                      <w:caps/>
                                      <w:color w:val="FFFFFF" w:themeColor="background1"/>
                                    </w:rPr>
                                    <w:t>Mount Holyoke College</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71052B" w:rsidRDefault="0071052B">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Expense and Reimbursement Guidelines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71052B" w:rsidRDefault="0071052B">
                                <w:pPr>
                                  <w:pStyle w:val="NoSpacing"/>
                                  <w:spacing w:before="120"/>
                                  <w:jc w:val="center"/>
                                  <w:rPr>
                                    <w:color w:val="FFFFFF" w:themeColor="background1"/>
                                  </w:rPr>
                                </w:pPr>
                                <w:r>
                                  <w:rPr>
                                    <w:color w:val="FFFFFF" w:themeColor="background1"/>
                                  </w:rPr>
                                  <w:t>Academic Year 2019-20 v1.0</w:t>
                                </w:r>
                              </w:p>
                            </w:sdtContent>
                          </w:sdt>
                          <w:p w:rsidR="0071052B" w:rsidRDefault="0071052B">
                            <w:pPr>
                              <w:pStyle w:val="NoSpacing"/>
                              <w:spacing w:before="120"/>
                              <w:jc w:val="center"/>
                              <w:rPr>
                                <w:color w:val="FFFFFF" w:themeColor="background1"/>
                              </w:rPr>
                            </w:pPr>
                            <w:r>
                              <w:rPr>
                                <w:caps/>
                                <w:color w:val="FFFFFF" w:themeColor="background1"/>
                              </w:rPr>
                              <w:t>Mount Holyoke College</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71052B" w:rsidRDefault="0071052B">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Expense and Reimbursement Guidelines</w:t>
                                </w:r>
                              </w:p>
                            </w:sdtContent>
                          </w:sdt>
                        </w:txbxContent>
                      </v:textbox>
                    </v:shape>
                    <w10:wrap anchorx="page" anchory="page"/>
                  </v:group>
                </w:pict>
              </mc:Fallback>
            </mc:AlternateContent>
          </w:r>
        </w:p>
        <w:p w:rsidR="00586DB9" w:rsidRDefault="00586DB9">
          <w:pPr>
            <w:rPr>
              <w:rFonts w:eastAsia="Times New Roman" w:cstheme="majorBidi"/>
              <w:spacing w:val="-10"/>
              <w:kern w:val="28"/>
              <w:sz w:val="56"/>
              <w:szCs w:val="56"/>
            </w:rPr>
          </w:pPr>
          <w:r>
            <w:rPr>
              <w:rFonts w:eastAsia="Times New Roman"/>
            </w:rPr>
            <w:br w:type="page"/>
          </w:r>
        </w:p>
      </w:sdtContent>
    </w:sdt>
    <w:p w:rsidR="00DE18C8" w:rsidRDefault="00DE18C8" w:rsidP="002D1D1E">
      <w:pPr>
        <w:pStyle w:val="Title"/>
        <w:rPr>
          <w:rFonts w:eastAsia="Times New Roman"/>
        </w:rPr>
      </w:pPr>
      <w:r w:rsidRPr="00DE18C8">
        <w:rPr>
          <w:rFonts w:eastAsia="Times New Roman"/>
        </w:rPr>
        <w:lastRenderedPageBreak/>
        <w:t>Expense Reimbursement Guidelines</w:t>
      </w:r>
    </w:p>
    <w:p w:rsidR="00D70687" w:rsidRDefault="00CD2B6E">
      <w:pPr>
        <w:pStyle w:val="TOC1"/>
        <w:rPr>
          <w:rFonts w:asciiTheme="minorHAnsi" w:eastAsiaTheme="minorEastAsia" w:hAnsiTheme="minorHAnsi"/>
          <w:noProof/>
        </w:rPr>
      </w:pPr>
      <w:r>
        <w:rPr>
          <w:rFonts w:eastAsia="Times New Roman" w:cs="Times New Roman"/>
          <w:b/>
          <w:bCs/>
          <w:kern w:val="36"/>
          <w:sz w:val="48"/>
          <w:szCs w:val="48"/>
        </w:rPr>
        <w:fldChar w:fldCharType="begin"/>
      </w:r>
      <w:r>
        <w:rPr>
          <w:rFonts w:eastAsia="Times New Roman" w:cs="Times New Roman"/>
          <w:b/>
          <w:bCs/>
          <w:kern w:val="36"/>
          <w:sz w:val="48"/>
          <w:szCs w:val="48"/>
        </w:rPr>
        <w:instrText xml:space="preserve"> TOC \o "1-3" \h \z </w:instrText>
      </w:r>
      <w:r>
        <w:rPr>
          <w:rFonts w:eastAsia="Times New Roman" w:cs="Times New Roman"/>
          <w:b/>
          <w:bCs/>
          <w:kern w:val="36"/>
          <w:sz w:val="48"/>
          <w:szCs w:val="48"/>
        </w:rPr>
        <w:fldChar w:fldCharType="separate"/>
      </w:r>
      <w:hyperlink w:anchor="_Toc17984636" w:history="1">
        <w:r w:rsidR="00D70687" w:rsidRPr="002973E3">
          <w:rPr>
            <w:rStyle w:val="Hyperlink"/>
            <w:noProof/>
          </w:rPr>
          <w:t>Expense Reimbursement Guidelines</w:t>
        </w:r>
        <w:r w:rsidR="00D70687">
          <w:rPr>
            <w:noProof/>
            <w:webHidden/>
          </w:rPr>
          <w:tab/>
        </w:r>
        <w:r w:rsidR="00D70687">
          <w:rPr>
            <w:noProof/>
            <w:webHidden/>
          </w:rPr>
          <w:fldChar w:fldCharType="begin"/>
        </w:r>
        <w:r w:rsidR="00D70687">
          <w:rPr>
            <w:noProof/>
            <w:webHidden/>
          </w:rPr>
          <w:instrText xml:space="preserve"> PAGEREF _Toc17984636 \h </w:instrText>
        </w:r>
        <w:r w:rsidR="00D70687">
          <w:rPr>
            <w:noProof/>
            <w:webHidden/>
          </w:rPr>
        </w:r>
        <w:r w:rsidR="00D70687">
          <w:rPr>
            <w:noProof/>
            <w:webHidden/>
          </w:rPr>
          <w:fldChar w:fldCharType="separate"/>
        </w:r>
        <w:r w:rsidR="004D31A6">
          <w:rPr>
            <w:noProof/>
            <w:webHidden/>
          </w:rPr>
          <w:t>2</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37" w:history="1">
        <w:r w:rsidR="00D70687" w:rsidRPr="002973E3">
          <w:rPr>
            <w:rStyle w:val="Hyperlink"/>
            <w:rFonts w:eastAsia="Times New Roman"/>
            <w:noProof/>
          </w:rPr>
          <w:t>Introduction</w:t>
        </w:r>
        <w:r w:rsidR="00D70687">
          <w:rPr>
            <w:noProof/>
            <w:webHidden/>
          </w:rPr>
          <w:tab/>
        </w:r>
        <w:r w:rsidR="00D70687">
          <w:rPr>
            <w:noProof/>
            <w:webHidden/>
          </w:rPr>
          <w:fldChar w:fldCharType="begin"/>
        </w:r>
        <w:r w:rsidR="00D70687">
          <w:rPr>
            <w:noProof/>
            <w:webHidden/>
          </w:rPr>
          <w:instrText xml:space="preserve"> PAGEREF _Toc17984637 \h </w:instrText>
        </w:r>
        <w:r w:rsidR="00D70687">
          <w:rPr>
            <w:noProof/>
            <w:webHidden/>
          </w:rPr>
        </w:r>
        <w:r w:rsidR="00D70687">
          <w:rPr>
            <w:noProof/>
            <w:webHidden/>
          </w:rPr>
          <w:fldChar w:fldCharType="separate"/>
        </w:r>
        <w:r w:rsidR="004D31A6">
          <w:rPr>
            <w:noProof/>
            <w:webHidden/>
          </w:rPr>
          <w:t>2</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38" w:history="1">
        <w:r w:rsidR="00D70687" w:rsidRPr="002973E3">
          <w:rPr>
            <w:rStyle w:val="Hyperlink"/>
            <w:noProof/>
          </w:rPr>
          <w:t>Travel and Entertainment Policy Statement</w:t>
        </w:r>
        <w:r w:rsidR="00D70687">
          <w:rPr>
            <w:noProof/>
            <w:webHidden/>
          </w:rPr>
          <w:tab/>
        </w:r>
        <w:r w:rsidR="00D70687">
          <w:rPr>
            <w:noProof/>
            <w:webHidden/>
          </w:rPr>
          <w:fldChar w:fldCharType="begin"/>
        </w:r>
        <w:r w:rsidR="00D70687">
          <w:rPr>
            <w:noProof/>
            <w:webHidden/>
          </w:rPr>
          <w:instrText xml:space="preserve"> PAGEREF _Toc17984638 \h </w:instrText>
        </w:r>
        <w:r w:rsidR="00D70687">
          <w:rPr>
            <w:noProof/>
            <w:webHidden/>
          </w:rPr>
        </w:r>
        <w:r w:rsidR="00D70687">
          <w:rPr>
            <w:noProof/>
            <w:webHidden/>
          </w:rPr>
          <w:fldChar w:fldCharType="separate"/>
        </w:r>
        <w:r w:rsidR="004D31A6">
          <w:rPr>
            <w:noProof/>
            <w:webHidden/>
          </w:rPr>
          <w:t>2</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39" w:history="1">
        <w:r w:rsidR="00D70687" w:rsidRPr="002973E3">
          <w:rPr>
            <w:rStyle w:val="Hyperlink"/>
            <w:noProof/>
          </w:rPr>
          <w:t>Related</w:t>
        </w:r>
        <w:r w:rsidR="00D70687" w:rsidRPr="002973E3">
          <w:rPr>
            <w:rStyle w:val="Hyperlink"/>
            <w:rFonts w:eastAsia="Times New Roman"/>
            <w:noProof/>
          </w:rPr>
          <w:t xml:space="preserve"> </w:t>
        </w:r>
        <w:r w:rsidR="00D70687" w:rsidRPr="002973E3">
          <w:rPr>
            <w:rStyle w:val="Hyperlink"/>
            <w:noProof/>
          </w:rPr>
          <w:t>Policies</w:t>
        </w:r>
        <w:r w:rsidR="00D70687">
          <w:rPr>
            <w:noProof/>
            <w:webHidden/>
          </w:rPr>
          <w:tab/>
        </w:r>
        <w:r w:rsidR="00D70687">
          <w:rPr>
            <w:noProof/>
            <w:webHidden/>
          </w:rPr>
          <w:fldChar w:fldCharType="begin"/>
        </w:r>
        <w:r w:rsidR="00D70687">
          <w:rPr>
            <w:noProof/>
            <w:webHidden/>
          </w:rPr>
          <w:instrText xml:space="preserve"> PAGEREF _Toc17984639 \h </w:instrText>
        </w:r>
        <w:r w:rsidR="00D70687">
          <w:rPr>
            <w:noProof/>
            <w:webHidden/>
          </w:rPr>
        </w:r>
        <w:r w:rsidR="00D70687">
          <w:rPr>
            <w:noProof/>
            <w:webHidden/>
          </w:rPr>
          <w:fldChar w:fldCharType="separate"/>
        </w:r>
        <w:r w:rsidR="004D31A6">
          <w:rPr>
            <w:noProof/>
            <w:webHidden/>
          </w:rPr>
          <w:t>3</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40" w:history="1">
        <w:r w:rsidR="00D70687" w:rsidRPr="002973E3">
          <w:rPr>
            <w:rStyle w:val="Hyperlink"/>
            <w:noProof/>
          </w:rPr>
          <w:t>Purchasing Department Policies and Information</w:t>
        </w:r>
        <w:r w:rsidR="00D70687">
          <w:rPr>
            <w:noProof/>
            <w:webHidden/>
          </w:rPr>
          <w:tab/>
        </w:r>
        <w:r w:rsidR="00D70687">
          <w:rPr>
            <w:noProof/>
            <w:webHidden/>
          </w:rPr>
          <w:fldChar w:fldCharType="begin"/>
        </w:r>
        <w:r w:rsidR="00D70687">
          <w:rPr>
            <w:noProof/>
            <w:webHidden/>
          </w:rPr>
          <w:instrText xml:space="preserve"> PAGEREF _Toc17984640 \h </w:instrText>
        </w:r>
        <w:r w:rsidR="00D70687">
          <w:rPr>
            <w:noProof/>
            <w:webHidden/>
          </w:rPr>
        </w:r>
        <w:r w:rsidR="00D70687">
          <w:rPr>
            <w:noProof/>
            <w:webHidden/>
          </w:rPr>
          <w:fldChar w:fldCharType="separate"/>
        </w:r>
        <w:r w:rsidR="004D31A6">
          <w:rPr>
            <w:noProof/>
            <w:webHidden/>
          </w:rPr>
          <w:t>3</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41" w:history="1">
        <w:r w:rsidR="00D70687" w:rsidRPr="002973E3">
          <w:rPr>
            <w:rStyle w:val="Hyperlink"/>
            <w:noProof/>
          </w:rPr>
          <w:t>Spouse/Partner/Companion Travel</w:t>
        </w:r>
        <w:r w:rsidR="00D70687">
          <w:rPr>
            <w:noProof/>
            <w:webHidden/>
          </w:rPr>
          <w:tab/>
        </w:r>
        <w:r w:rsidR="00D70687">
          <w:rPr>
            <w:noProof/>
            <w:webHidden/>
          </w:rPr>
          <w:fldChar w:fldCharType="begin"/>
        </w:r>
        <w:r w:rsidR="00D70687">
          <w:rPr>
            <w:noProof/>
            <w:webHidden/>
          </w:rPr>
          <w:instrText xml:space="preserve"> PAGEREF _Toc17984641 \h </w:instrText>
        </w:r>
        <w:r w:rsidR="00D70687">
          <w:rPr>
            <w:noProof/>
            <w:webHidden/>
          </w:rPr>
        </w:r>
        <w:r w:rsidR="00D70687">
          <w:rPr>
            <w:noProof/>
            <w:webHidden/>
          </w:rPr>
          <w:fldChar w:fldCharType="separate"/>
        </w:r>
        <w:r w:rsidR="004D31A6">
          <w:rPr>
            <w:noProof/>
            <w:webHidden/>
          </w:rPr>
          <w:t>3</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42" w:history="1">
        <w:r w:rsidR="00D70687" w:rsidRPr="002973E3">
          <w:rPr>
            <w:rStyle w:val="Hyperlink"/>
            <w:noProof/>
          </w:rPr>
          <w:t>Personal Travel</w:t>
        </w:r>
        <w:r w:rsidR="00D70687">
          <w:rPr>
            <w:noProof/>
            <w:webHidden/>
          </w:rPr>
          <w:tab/>
        </w:r>
        <w:r w:rsidR="00D70687">
          <w:rPr>
            <w:noProof/>
            <w:webHidden/>
          </w:rPr>
          <w:fldChar w:fldCharType="begin"/>
        </w:r>
        <w:r w:rsidR="00D70687">
          <w:rPr>
            <w:noProof/>
            <w:webHidden/>
          </w:rPr>
          <w:instrText xml:space="preserve"> PAGEREF _Toc17984642 \h </w:instrText>
        </w:r>
        <w:r w:rsidR="00D70687">
          <w:rPr>
            <w:noProof/>
            <w:webHidden/>
          </w:rPr>
        </w:r>
        <w:r w:rsidR="00D70687">
          <w:rPr>
            <w:noProof/>
            <w:webHidden/>
          </w:rPr>
          <w:fldChar w:fldCharType="separate"/>
        </w:r>
        <w:r w:rsidR="004D31A6">
          <w:rPr>
            <w:noProof/>
            <w:webHidden/>
          </w:rPr>
          <w:t>3</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43" w:history="1">
        <w:r w:rsidR="00D70687" w:rsidRPr="002973E3">
          <w:rPr>
            <w:rStyle w:val="Hyperlink"/>
            <w:noProof/>
          </w:rPr>
          <w:t>Travel Advances</w:t>
        </w:r>
        <w:r w:rsidR="00D70687">
          <w:rPr>
            <w:noProof/>
            <w:webHidden/>
          </w:rPr>
          <w:tab/>
        </w:r>
        <w:r w:rsidR="00D70687">
          <w:rPr>
            <w:noProof/>
            <w:webHidden/>
          </w:rPr>
          <w:fldChar w:fldCharType="begin"/>
        </w:r>
        <w:r w:rsidR="00D70687">
          <w:rPr>
            <w:noProof/>
            <w:webHidden/>
          </w:rPr>
          <w:instrText xml:space="preserve"> PAGEREF _Toc17984643 \h </w:instrText>
        </w:r>
        <w:r w:rsidR="00D70687">
          <w:rPr>
            <w:noProof/>
            <w:webHidden/>
          </w:rPr>
        </w:r>
        <w:r w:rsidR="00D70687">
          <w:rPr>
            <w:noProof/>
            <w:webHidden/>
          </w:rPr>
          <w:fldChar w:fldCharType="separate"/>
        </w:r>
        <w:r w:rsidR="004D31A6">
          <w:rPr>
            <w:noProof/>
            <w:webHidden/>
          </w:rPr>
          <w:t>3</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44" w:history="1">
        <w:r w:rsidR="00D70687" w:rsidRPr="002973E3">
          <w:rPr>
            <w:rStyle w:val="Hyperlink"/>
            <w:noProof/>
          </w:rPr>
          <w:t>Accounts Payable Check Disposition and Pick Up Policy</w:t>
        </w:r>
        <w:r w:rsidR="00D70687">
          <w:rPr>
            <w:noProof/>
            <w:webHidden/>
          </w:rPr>
          <w:tab/>
        </w:r>
        <w:r w:rsidR="00D70687">
          <w:rPr>
            <w:noProof/>
            <w:webHidden/>
          </w:rPr>
          <w:fldChar w:fldCharType="begin"/>
        </w:r>
        <w:r w:rsidR="00D70687">
          <w:rPr>
            <w:noProof/>
            <w:webHidden/>
          </w:rPr>
          <w:instrText xml:space="preserve"> PAGEREF _Toc17984644 \h </w:instrText>
        </w:r>
        <w:r w:rsidR="00D70687">
          <w:rPr>
            <w:noProof/>
            <w:webHidden/>
          </w:rPr>
        </w:r>
        <w:r w:rsidR="00D70687">
          <w:rPr>
            <w:noProof/>
            <w:webHidden/>
          </w:rPr>
          <w:fldChar w:fldCharType="separate"/>
        </w:r>
        <w:r w:rsidR="004D31A6">
          <w:rPr>
            <w:noProof/>
            <w:webHidden/>
          </w:rPr>
          <w:t>3</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45" w:history="1">
        <w:r w:rsidR="00D70687" w:rsidRPr="002973E3">
          <w:rPr>
            <w:rStyle w:val="Hyperlink"/>
            <w:noProof/>
          </w:rPr>
          <w:t>AMEX Corporate Card</w:t>
        </w:r>
        <w:r w:rsidR="00D70687">
          <w:rPr>
            <w:noProof/>
            <w:webHidden/>
          </w:rPr>
          <w:tab/>
        </w:r>
        <w:r w:rsidR="00D70687">
          <w:rPr>
            <w:noProof/>
            <w:webHidden/>
          </w:rPr>
          <w:fldChar w:fldCharType="begin"/>
        </w:r>
        <w:r w:rsidR="00D70687">
          <w:rPr>
            <w:noProof/>
            <w:webHidden/>
          </w:rPr>
          <w:instrText xml:space="preserve"> PAGEREF _Toc17984645 \h </w:instrText>
        </w:r>
        <w:r w:rsidR="00D70687">
          <w:rPr>
            <w:noProof/>
            <w:webHidden/>
          </w:rPr>
        </w:r>
        <w:r w:rsidR="00D70687">
          <w:rPr>
            <w:noProof/>
            <w:webHidden/>
          </w:rPr>
          <w:fldChar w:fldCharType="separate"/>
        </w:r>
        <w:r w:rsidR="004D31A6">
          <w:rPr>
            <w:noProof/>
            <w:webHidden/>
          </w:rPr>
          <w:t>3</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46" w:history="1">
        <w:r w:rsidR="00D70687" w:rsidRPr="002973E3">
          <w:rPr>
            <w:rStyle w:val="Hyperlink"/>
            <w:noProof/>
          </w:rPr>
          <w:t>Travel Agencies</w:t>
        </w:r>
        <w:r w:rsidR="00D70687">
          <w:rPr>
            <w:noProof/>
            <w:webHidden/>
          </w:rPr>
          <w:tab/>
        </w:r>
        <w:r w:rsidR="00D70687">
          <w:rPr>
            <w:noProof/>
            <w:webHidden/>
          </w:rPr>
          <w:fldChar w:fldCharType="begin"/>
        </w:r>
        <w:r w:rsidR="00D70687">
          <w:rPr>
            <w:noProof/>
            <w:webHidden/>
          </w:rPr>
          <w:instrText xml:space="preserve"> PAGEREF _Toc17984646 \h </w:instrText>
        </w:r>
        <w:r w:rsidR="00D70687">
          <w:rPr>
            <w:noProof/>
            <w:webHidden/>
          </w:rPr>
        </w:r>
        <w:r w:rsidR="00D70687">
          <w:rPr>
            <w:noProof/>
            <w:webHidden/>
          </w:rPr>
          <w:fldChar w:fldCharType="separate"/>
        </w:r>
        <w:r w:rsidR="004D31A6">
          <w:rPr>
            <w:noProof/>
            <w:webHidden/>
          </w:rPr>
          <w:t>4</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47" w:history="1">
        <w:r w:rsidR="00D70687" w:rsidRPr="002973E3">
          <w:rPr>
            <w:rStyle w:val="Hyperlink"/>
            <w:noProof/>
          </w:rPr>
          <w:t>TA Number</w:t>
        </w:r>
        <w:r w:rsidR="00D70687">
          <w:rPr>
            <w:noProof/>
            <w:webHidden/>
          </w:rPr>
          <w:tab/>
        </w:r>
        <w:r w:rsidR="00D70687">
          <w:rPr>
            <w:noProof/>
            <w:webHidden/>
          </w:rPr>
          <w:fldChar w:fldCharType="begin"/>
        </w:r>
        <w:r w:rsidR="00D70687">
          <w:rPr>
            <w:noProof/>
            <w:webHidden/>
          </w:rPr>
          <w:instrText xml:space="preserve"> PAGEREF _Toc17984647 \h </w:instrText>
        </w:r>
        <w:r w:rsidR="00D70687">
          <w:rPr>
            <w:noProof/>
            <w:webHidden/>
          </w:rPr>
        </w:r>
        <w:r w:rsidR="00D70687">
          <w:rPr>
            <w:noProof/>
            <w:webHidden/>
          </w:rPr>
          <w:fldChar w:fldCharType="separate"/>
        </w:r>
        <w:r w:rsidR="004D31A6">
          <w:rPr>
            <w:noProof/>
            <w:webHidden/>
          </w:rPr>
          <w:t>4</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48" w:history="1">
        <w:r w:rsidR="00D70687" w:rsidRPr="002973E3">
          <w:rPr>
            <w:rStyle w:val="Hyperlink"/>
            <w:noProof/>
          </w:rPr>
          <w:t>Tax Exemption</w:t>
        </w:r>
        <w:r w:rsidR="00D70687">
          <w:rPr>
            <w:noProof/>
            <w:webHidden/>
          </w:rPr>
          <w:tab/>
        </w:r>
        <w:r w:rsidR="00D70687">
          <w:rPr>
            <w:noProof/>
            <w:webHidden/>
          </w:rPr>
          <w:fldChar w:fldCharType="begin"/>
        </w:r>
        <w:r w:rsidR="00D70687">
          <w:rPr>
            <w:noProof/>
            <w:webHidden/>
          </w:rPr>
          <w:instrText xml:space="preserve"> PAGEREF _Toc17984648 \h </w:instrText>
        </w:r>
        <w:r w:rsidR="00D70687">
          <w:rPr>
            <w:noProof/>
            <w:webHidden/>
          </w:rPr>
        </w:r>
        <w:r w:rsidR="00D70687">
          <w:rPr>
            <w:noProof/>
            <w:webHidden/>
          </w:rPr>
          <w:fldChar w:fldCharType="separate"/>
        </w:r>
        <w:r w:rsidR="004D31A6">
          <w:rPr>
            <w:noProof/>
            <w:webHidden/>
          </w:rPr>
          <w:t>4</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49" w:history="1">
        <w:r w:rsidR="00D70687" w:rsidRPr="002973E3">
          <w:rPr>
            <w:rStyle w:val="Hyperlink"/>
            <w:noProof/>
          </w:rPr>
          <w:t>Paying International Visitors</w:t>
        </w:r>
        <w:r w:rsidR="00D70687">
          <w:rPr>
            <w:noProof/>
            <w:webHidden/>
          </w:rPr>
          <w:tab/>
        </w:r>
        <w:r w:rsidR="00D70687">
          <w:rPr>
            <w:noProof/>
            <w:webHidden/>
          </w:rPr>
          <w:fldChar w:fldCharType="begin"/>
        </w:r>
        <w:r w:rsidR="00D70687">
          <w:rPr>
            <w:noProof/>
            <w:webHidden/>
          </w:rPr>
          <w:instrText xml:space="preserve"> PAGEREF _Toc17984649 \h </w:instrText>
        </w:r>
        <w:r w:rsidR="00D70687">
          <w:rPr>
            <w:noProof/>
            <w:webHidden/>
          </w:rPr>
        </w:r>
        <w:r w:rsidR="00D70687">
          <w:rPr>
            <w:noProof/>
            <w:webHidden/>
          </w:rPr>
          <w:fldChar w:fldCharType="separate"/>
        </w:r>
        <w:r w:rsidR="004D31A6">
          <w:rPr>
            <w:noProof/>
            <w:webHidden/>
          </w:rPr>
          <w:t>5</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50" w:history="1">
        <w:r w:rsidR="00D70687" w:rsidRPr="002973E3">
          <w:rPr>
            <w:rStyle w:val="Hyperlink"/>
            <w:noProof/>
          </w:rPr>
          <w:t>Grants</w:t>
        </w:r>
        <w:r w:rsidR="00D70687">
          <w:rPr>
            <w:noProof/>
            <w:webHidden/>
          </w:rPr>
          <w:tab/>
        </w:r>
        <w:r w:rsidR="00D70687">
          <w:rPr>
            <w:noProof/>
            <w:webHidden/>
          </w:rPr>
          <w:fldChar w:fldCharType="begin"/>
        </w:r>
        <w:r w:rsidR="00D70687">
          <w:rPr>
            <w:noProof/>
            <w:webHidden/>
          </w:rPr>
          <w:instrText xml:space="preserve"> PAGEREF _Toc17984650 \h </w:instrText>
        </w:r>
        <w:r w:rsidR="00D70687">
          <w:rPr>
            <w:noProof/>
            <w:webHidden/>
          </w:rPr>
        </w:r>
        <w:r w:rsidR="00D70687">
          <w:rPr>
            <w:noProof/>
            <w:webHidden/>
          </w:rPr>
          <w:fldChar w:fldCharType="separate"/>
        </w:r>
        <w:r w:rsidR="004D31A6">
          <w:rPr>
            <w:noProof/>
            <w:webHidden/>
          </w:rPr>
          <w:t>5</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51" w:history="1">
        <w:r w:rsidR="00D70687" w:rsidRPr="002973E3">
          <w:rPr>
            <w:rStyle w:val="Hyperlink"/>
            <w:noProof/>
          </w:rPr>
          <w:t>Insurance</w:t>
        </w:r>
        <w:r w:rsidR="00D70687">
          <w:rPr>
            <w:noProof/>
            <w:webHidden/>
          </w:rPr>
          <w:tab/>
        </w:r>
        <w:r w:rsidR="00D70687">
          <w:rPr>
            <w:noProof/>
            <w:webHidden/>
          </w:rPr>
          <w:fldChar w:fldCharType="begin"/>
        </w:r>
        <w:r w:rsidR="00D70687">
          <w:rPr>
            <w:noProof/>
            <w:webHidden/>
          </w:rPr>
          <w:instrText xml:space="preserve"> PAGEREF _Toc17984651 \h </w:instrText>
        </w:r>
        <w:r w:rsidR="00D70687">
          <w:rPr>
            <w:noProof/>
            <w:webHidden/>
          </w:rPr>
        </w:r>
        <w:r w:rsidR="00D70687">
          <w:rPr>
            <w:noProof/>
            <w:webHidden/>
          </w:rPr>
          <w:fldChar w:fldCharType="separate"/>
        </w:r>
        <w:r w:rsidR="004D31A6">
          <w:rPr>
            <w:noProof/>
            <w:webHidden/>
          </w:rPr>
          <w:t>5</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52" w:history="1">
        <w:r w:rsidR="00D70687" w:rsidRPr="002973E3">
          <w:rPr>
            <w:rStyle w:val="Hyperlink"/>
            <w:noProof/>
          </w:rPr>
          <w:t>Accident</w:t>
        </w:r>
        <w:r w:rsidR="00D70687">
          <w:rPr>
            <w:noProof/>
            <w:webHidden/>
          </w:rPr>
          <w:tab/>
        </w:r>
        <w:r w:rsidR="00D70687">
          <w:rPr>
            <w:noProof/>
            <w:webHidden/>
          </w:rPr>
          <w:fldChar w:fldCharType="begin"/>
        </w:r>
        <w:r w:rsidR="00D70687">
          <w:rPr>
            <w:noProof/>
            <w:webHidden/>
          </w:rPr>
          <w:instrText xml:space="preserve"> PAGEREF _Toc17984652 \h </w:instrText>
        </w:r>
        <w:r w:rsidR="00D70687">
          <w:rPr>
            <w:noProof/>
            <w:webHidden/>
          </w:rPr>
        </w:r>
        <w:r w:rsidR="00D70687">
          <w:rPr>
            <w:noProof/>
            <w:webHidden/>
          </w:rPr>
          <w:fldChar w:fldCharType="separate"/>
        </w:r>
        <w:r w:rsidR="004D31A6">
          <w:rPr>
            <w:noProof/>
            <w:webHidden/>
          </w:rPr>
          <w:t>5</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53" w:history="1">
        <w:r w:rsidR="00D70687" w:rsidRPr="002973E3">
          <w:rPr>
            <w:rStyle w:val="Hyperlink"/>
            <w:rFonts w:eastAsia="Times New Roman"/>
            <w:noProof/>
          </w:rPr>
          <w:t>Non-Reimbursable Expenses</w:t>
        </w:r>
        <w:r w:rsidR="00D70687">
          <w:rPr>
            <w:noProof/>
            <w:webHidden/>
          </w:rPr>
          <w:tab/>
        </w:r>
        <w:r w:rsidR="00D70687">
          <w:rPr>
            <w:noProof/>
            <w:webHidden/>
          </w:rPr>
          <w:fldChar w:fldCharType="begin"/>
        </w:r>
        <w:r w:rsidR="00D70687">
          <w:rPr>
            <w:noProof/>
            <w:webHidden/>
          </w:rPr>
          <w:instrText xml:space="preserve"> PAGEREF _Toc17984653 \h </w:instrText>
        </w:r>
        <w:r w:rsidR="00D70687">
          <w:rPr>
            <w:noProof/>
            <w:webHidden/>
          </w:rPr>
        </w:r>
        <w:r w:rsidR="00D70687">
          <w:rPr>
            <w:noProof/>
            <w:webHidden/>
          </w:rPr>
          <w:fldChar w:fldCharType="separate"/>
        </w:r>
        <w:r w:rsidR="004D31A6">
          <w:rPr>
            <w:noProof/>
            <w:webHidden/>
          </w:rPr>
          <w:t>5</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54" w:history="1">
        <w:r w:rsidR="00D70687" w:rsidRPr="002973E3">
          <w:rPr>
            <w:rStyle w:val="Hyperlink"/>
            <w:rFonts w:eastAsia="Times New Roman"/>
            <w:noProof/>
          </w:rPr>
          <w:t>Reimbursable Expenses</w:t>
        </w:r>
        <w:r w:rsidR="00D70687">
          <w:rPr>
            <w:noProof/>
            <w:webHidden/>
          </w:rPr>
          <w:tab/>
        </w:r>
        <w:r w:rsidR="00D70687">
          <w:rPr>
            <w:noProof/>
            <w:webHidden/>
          </w:rPr>
          <w:fldChar w:fldCharType="begin"/>
        </w:r>
        <w:r w:rsidR="00D70687">
          <w:rPr>
            <w:noProof/>
            <w:webHidden/>
          </w:rPr>
          <w:instrText xml:space="preserve"> PAGEREF _Toc17984654 \h </w:instrText>
        </w:r>
        <w:r w:rsidR="00D70687">
          <w:rPr>
            <w:noProof/>
            <w:webHidden/>
          </w:rPr>
        </w:r>
        <w:r w:rsidR="00D70687">
          <w:rPr>
            <w:noProof/>
            <w:webHidden/>
          </w:rPr>
          <w:fldChar w:fldCharType="separate"/>
        </w:r>
        <w:r w:rsidR="004D31A6">
          <w:rPr>
            <w:noProof/>
            <w:webHidden/>
          </w:rPr>
          <w:t>6</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55" w:history="1">
        <w:r w:rsidR="00D70687" w:rsidRPr="002973E3">
          <w:rPr>
            <w:rStyle w:val="Hyperlink"/>
            <w:noProof/>
          </w:rPr>
          <w:t>Conference Fees</w:t>
        </w:r>
        <w:r w:rsidR="00D70687">
          <w:rPr>
            <w:noProof/>
            <w:webHidden/>
          </w:rPr>
          <w:tab/>
        </w:r>
        <w:r w:rsidR="00D70687">
          <w:rPr>
            <w:noProof/>
            <w:webHidden/>
          </w:rPr>
          <w:fldChar w:fldCharType="begin"/>
        </w:r>
        <w:r w:rsidR="00D70687">
          <w:rPr>
            <w:noProof/>
            <w:webHidden/>
          </w:rPr>
          <w:instrText xml:space="preserve"> PAGEREF _Toc17984655 \h </w:instrText>
        </w:r>
        <w:r w:rsidR="00D70687">
          <w:rPr>
            <w:noProof/>
            <w:webHidden/>
          </w:rPr>
        </w:r>
        <w:r w:rsidR="00D70687">
          <w:rPr>
            <w:noProof/>
            <w:webHidden/>
          </w:rPr>
          <w:fldChar w:fldCharType="separate"/>
        </w:r>
        <w:r w:rsidR="004D31A6">
          <w:rPr>
            <w:noProof/>
            <w:webHidden/>
          </w:rPr>
          <w:t>6</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56" w:history="1">
        <w:r w:rsidR="00D70687" w:rsidRPr="002973E3">
          <w:rPr>
            <w:rStyle w:val="Hyperlink"/>
            <w:noProof/>
          </w:rPr>
          <w:t>Travel /Transportation</w:t>
        </w:r>
        <w:r w:rsidR="00D70687">
          <w:rPr>
            <w:noProof/>
            <w:webHidden/>
          </w:rPr>
          <w:tab/>
        </w:r>
        <w:r w:rsidR="00D70687">
          <w:rPr>
            <w:noProof/>
            <w:webHidden/>
          </w:rPr>
          <w:fldChar w:fldCharType="begin"/>
        </w:r>
        <w:r w:rsidR="00D70687">
          <w:rPr>
            <w:noProof/>
            <w:webHidden/>
          </w:rPr>
          <w:instrText xml:space="preserve"> PAGEREF _Toc17984656 \h </w:instrText>
        </w:r>
        <w:r w:rsidR="00D70687">
          <w:rPr>
            <w:noProof/>
            <w:webHidden/>
          </w:rPr>
        </w:r>
        <w:r w:rsidR="00D70687">
          <w:rPr>
            <w:noProof/>
            <w:webHidden/>
          </w:rPr>
          <w:fldChar w:fldCharType="separate"/>
        </w:r>
        <w:r w:rsidR="004D31A6">
          <w:rPr>
            <w:noProof/>
            <w:webHidden/>
          </w:rPr>
          <w:t>7</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57" w:history="1">
        <w:r w:rsidR="00D70687" w:rsidRPr="002973E3">
          <w:rPr>
            <w:rStyle w:val="Hyperlink"/>
            <w:noProof/>
          </w:rPr>
          <w:t>Ground Transportation</w:t>
        </w:r>
        <w:r w:rsidR="00D70687">
          <w:rPr>
            <w:noProof/>
            <w:webHidden/>
          </w:rPr>
          <w:tab/>
        </w:r>
        <w:r w:rsidR="00D70687">
          <w:rPr>
            <w:noProof/>
            <w:webHidden/>
          </w:rPr>
          <w:fldChar w:fldCharType="begin"/>
        </w:r>
        <w:r w:rsidR="00D70687">
          <w:rPr>
            <w:noProof/>
            <w:webHidden/>
          </w:rPr>
          <w:instrText xml:space="preserve"> PAGEREF _Toc17984657 \h </w:instrText>
        </w:r>
        <w:r w:rsidR="00D70687">
          <w:rPr>
            <w:noProof/>
            <w:webHidden/>
          </w:rPr>
        </w:r>
        <w:r w:rsidR="00D70687">
          <w:rPr>
            <w:noProof/>
            <w:webHidden/>
          </w:rPr>
          <w:fldChar w:fldCharType="separate"/>
        </w:r>
        <w:r w:rsidR="004D31A6">
          <w:rPr>
            <w:noProof/>
            <w:webHidden/>
          </w:rPr>
          <w:t>7</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58" w:history="1">
        <w:r w:rsidR="00D70687" w:rsidRPr="002973E3">
          <w:rPr>
            <w:rStyle w:val="Hyperlink"/>
            <w:noProof/>
          </w:rPr>
          <w:t>Travel by Air</w:t>
        </w:r>
        <w:r w:rsidR="00D70687">
          <w:rPr>
            <w:noProof/>
            <w:webHidden/>
          </w:rPr>
          <w:tab/>
        </w:r>
        <w:r w:rsidR="00D70687">
          <w:rPr>
            <w:noProof/>
            <w:webHidden/>
          </w:rPr>
          <w:fldChar w:fldCharType="begin"/>
        </w:r>
        <w:r w:rsidR="00D70687">
          <w:rPr>
            <w:noProof/>
            <w:webHidden/>
          </w:rPr>
          <w:instrText xml:space="preserve"> PAGEREF _Toc17984658 \h </w:instrText>
        </w:r>
        <w:r w:rsidR="00D70687">
          <w:rPr>
            <w:noProof/>
            <w:webHidden/>
          </w:rPr>
        </w:r>
        <w:r w:rsidR="00D70687">
          <w:rPr>
            <w:noProof/>
            <w:webHidden/>
          </w:rPr>
          <w:fldChar w:fldCharType="separate"/>
        </w:r>
        <w:r w:rsidR="004D31A6">
          <w:rPr>
            <w:noProof/>
            <w:webHidden/>
          </w:rPr>
          <w:t>8</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59" w:history="1">
        <w:r w:rsidR="00D70687" w:rsidRPr="002973E3">
          <w:rPr>
            <w:rStyle w:val="Hyperlink"/>
            <w:noProof/>
          </w:rPr>
          <w:t>Lodging</w:t>
        </w:r>
        <w:r w:rsidR="00D70687">
          <w:rPr>
            <w:noProof/>
            <w:webHidden/>
          </w:rPr>
          <w:tab/>
        </w:r>
        <w:r w:rsidR="00D70687">
          <w:rPr>
            <w:noProof/>
            <w:webHidden/>
          </w:rPr>
          <w:fldChar w:fldCharType="begin"/>
        </w:r>
        <w:r w:rsidR="00D70687">
          <w:rPr>
            <w:noProof/>
            <w:webHidden/>
          </w:rPr>
          <w:instrText xml:space="preserve"> PAGEREF _Toc17984659 \h </w:instrText>
        </w:r>
        <w:r w:rsidR="00D70687">
          <w:rPr>
            <w:noProof/>
            <w:webHidden/>
          </w:rPr>
        </w:r>
        <w:r w:rsidR="00D70687">
          <w:rPr>
            <w:noProof/>
            <w:webHidden/>
          </w:rPr>
          <w:fldChar w:fldCharType="separate"/>
        </w:r>
        <w:r w:rsidR="004D31A6">
          <w:rPr>
            <w:noProof/>
            <w:webHidden/>
          </w:rPr>
          <w:t>9</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60" w:history="1">
        <w:r w:rsidR="00D70687" w:rsidRPr="002973E3">
          <w:rPr>
            <w:rStyle w:val="Hyperlink"/>
            <w:noProof/>
          </w:rPr>
          <w:t>Meals, Alcohol, Tips &amp; Gratuities</w:t>
        </w:r>
        <w:r w:rsidR="00D70687">
          <w:rPr>
            <w:noProof/>
            <w:webHidden/>
          </w:rPr>
          <w:tab/>
        </w:r>
        <w:r w:rsidR="00D70687">
          <w:rPr>
            <w:noProof/>
            <w:webHidden/>
          </w:rPr>
          <w:fldChar w:fldCharType="begin"/>
        </w:r>
        <w:r w:rsidR="00D70687">
          <w:rPr>
            <w:noProof/>
            <w:webHidden/>
          </w:rPr>
          <w:instrText xml:space="preserve"> PAGEREF _Toc17984660 \h </w:instrText>
        </w:r>
        <w:r w:rsidR="00D70687">
          <w:rPr>
            <w:noProof/>
            <w:webHidden/>
          </w:rPr>
        </w:r>
        <w:r w:rsidR="00D70687">
          <w:rPr>
            <w:noProof/>
            <w:webHidden/>
          </w:rPr>
          <w:fldChar w:fldCharType="separate"/>
        </w:r>
        <w:r w:rsidR="004D31A6">
          <w:rPr>
            <w:noProof/>
            <w:webHidden/>
          </w:rPr>
          <w:t>9</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61" w:history="1">
        <w:r w:rsidR="00D70687" w:rsidRPr="002973E3">
          <w:rPr>
            <w:rStyle w:val="Hyperlink"/>
            <w:rFonts w:eastAsia="Times New Roman"/>
            <w:noProof/>
          </w:rPr>
          <w:t>Business Entertainment</w:t>
        </w:r>
        <w:r w:rsidR="00D70687">
          <w:rPr>
            <w:noProof/>
            <w:webHidden/>
          </w:rPr>
          <w:tab/>
        </w:r>
        <w:r w:rsidR="00D70687">
          <w:rPr>
            <w:noProof/>
            <w:webHidden/>
          </w:rPr>
          <w:fldChar w:fldCharType="begin"/>
        </w:r>
        <w:r w:rsidR="00D70687">
          <w:rPr>
            <w:noProof/>
            <w:webHidden/>
          </w:rPr>
          <w:instrText xml:space="preserve"> PAGEREF _Toc17984661 \h </w:instrText>
        </w:r>
        <w:r w:rsidR="00D70687">
          <w:rPr>
            <w:noProof/>
            <w:webHidden/>
          </w:rPr>
        </w:r>
        <w:r w:rsidR="00D70687">
          <w:rPr>
            <w:noProof/>
            <w:webHidden/>
          </w:rPr>
          <w:fldChar w:fldCharType="separate"/>
        </w:r>
        <w:r w:rsidR="004D31A6">
          <w:rPr>
            <w:noProof/>
            <w:webHidden/>
          </w:rPr>
          <w:t>11</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62" w:history="1">
        <w:r w:rsidR="00D70687" w:rsidRPr="002973E3">
          <w:rPr>
            <w:rStyle w:val="Hyperlink"/>
            <w:noProof/>
          </w:rPr>
          <w:t>Other Expenditures</w:t>
        </w:r>
        <w:r w:rsidR="00D70687">
          <w:rPr>
            <w:noProof/>
            <w:webHidden/>
          </w:rPr>
          <w:tab/>
        </w:r>
        <w:r w:rsidR="00D70687">
          <w:rPr>
            <w:noProof/>
            <w:webHidden/>
          </w:rPr>
          <w:fldChar w:fldCharType="begin"/>
        </w:r>
        <w:r w:rsidR="00D70687">
          <w:rPr>
            <w:noProof/>
            <w:webHidden/>
          </w:rPr>
          <w:instrText xml:space="preserve"> PAGEREF _Toc17984662 \h </w:instrText>
        </w:r>
        <w:r w:rsidR="00D70687">
          <w:rPr>
            <w:noProof/>
            <w:webHidden/>
          </w:rPr>
        </w:r>
        <w:r w:rsidR="00D70687">
          <w:rPr>
            <w:noProof/>
            <w:webHidden/>
          </w:rPr>
          <w:fldChar w:fldCharType="separate"/>
        </w:r>
        <w:r w:rsidR="004D31A6">
          <w:rPr>
            <w:noProof/>
            <w:webHidden/>
          </w:rPr>
          <w:t>12</w:t>
        </w:r>
        <w:r w:rsidR="00D70687">
          <w:rPr>
            <w:noProof/>
            <w:webHidden/>
          </w:rPr>
          <w:fldChar w:fldCharType="end"/>
        </w:r>
      </w:hyperlink>
    </w:p>
    <w:p w:rsidR="00D70687" w:rsidRDefault="00000000">
      <w:pPr>
        <w:pStyle w:val="TOC1"/>
        <w:rPr>
          <w:rFonts w:asciiTheme="minorHAnsi" w:eastAsiaTheme="minorEastAsia" w:hAnsiTheme="minorHAnsi"/>
          <w:noProof/>
        </w:rPr>
      </w:pPr>
      <w:hyperlink w:anchor="_Toc17984663" w:history="1">
        <w:r w:rsidR="00D70687" w:rsidRPr="002973E3">
          <w:rPr>
            <w:rStyle w:val="Hyperlink"/>
            <w:noProof/>
          </w:rPr>
          <w:t>REIMBURSEMENT PROCEDURE</w:t>
        </w:r>
        <w:r w:rsidR="00D70687">
          <w:rPr>
            <w:noProof/>
            <w:webHidden/>
          </w:rPr>
          <w:tab/>
        </w:r>
        <w:r w:rsidR="00D70687">
          <w:rPr>
            <w:noProof/>
            <w:webHidden/>
          </w:rPr>
          <w:fldChar w:fldCharType="begin"/>
        </w:r>
        <w:r w:rsidR="00D70687">
          <w:rPr>
            <w:noProof/>
            <w:webHidden/>
          </w:rPr>
          <w:instrText xml:space="preserve"> PAGEREF _Toc17984663 \h </w:instrText>
        </w:r>
        <w:r w:rsidR="00D70687">
          <w:rPr>
            <w:noProof/>
            <w:webHidden/>
          </w:rPr>
        </w:r>
        <w:r w:rsidR="00D70687">
          <w:rPr>
            <w:noProof/>
            <w:webHidden/>
          </w:rPr>
          <w:fldChar w:fldCharType="separate"/>
        </w:r>
        <w:r w:rsidR="004D31A6">
          <w:rPr>
            <w:noProof/>
            <w:webHidden/>
          </w:rPr>
          <w:t>14</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64" w:history="1">
        <w:r w:rsidR="00D70687" w:rsidRPr="002973E3">
          <w:rPr>
            <w:rStyle w:val="Hyperlink"/>
            <w:noProof/>
          </w:rPr>
          <w:t>Authorized Signers</w:t>
        </w:r>
        <w:r w:rsidR="00D70687">
          <w:rPr>
            <w:noProof/>
            <w:webHidden/>
          </w:rPr>
          <w:tab/>
        </w:r>
        <w:r w:rsidR="00D70687">
          <w:rPr>
            <w:noProof/>
            <w:webHidden/>
          </w:rPr>
          <w:fldChar w:fldCharType="begin"/>
        </w:r>
        <w:r w:rsidR="00D70687">
          <w:rPr>
            <w:noProof/>
            <w:webHidden/>
          </w:rPr>
          <w:instrText xml:space="preserve"> PAGEREF _Toc17984664 \h </w:instrText>
        </w:r>
        <w:r w:rsidR="00D70687">
          <w:rPr>
            <w:noProof/>
            <w:webHidden/>
          </w:rPr>
        </w:r>
        <w:r w:rsidR="00D70687">
          <w:rPr>
            <w:noProof/>
            <w:webHidden/>
          </w:rPr>
          <w:fldChar w:fldCharType="separate"/>
        </w:r>
        <w:r w:rsidR="004D31A6">
          <w:rPr>
            <w:noProof/>
            <w:webHidden/>
          </w:rPr>
          <w:t>14</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65" w:history="1">
        <w:r w:rsidR="00D70687" w:rsidRPr="002973E3">
          <w:rPr>
            <w:rStyle w:val="Hyperlink"/>
            <w:noProof/>
          </w:rPr>
          <w:t>Submission</w:t>
        </w:r>
        <w:r w:rsidR="00D70687">
          <w:rPr>
            <w:noProof/>
            <w:webHidden/>
          </w:rPr>
          <w:tab/>
        </w:r>
        <w:r w:rsidR="00D70687">
          <w:rPr>
            <w:noProof/>
            <w:webHidden/>
          </w:rPr>
          <w:fldChar w:fldCharType="begin"/>
        </w:r>
        <w:r w:rsidR="00D70687">
          <w:rPr>
            <w:noProof/>
            <w:webHidden/>
          </w:rPr>
          <w:instrText xml:space="preserve"> PAGEREF _Toc17984665 \h </w:instrText>
        </w:r>
        <w:r w:rsidR="00D70687">
          <w:rPr>
            <w:noProof/>
            <w:webHidden/>
          </w:rPr>
        </w:r>
        <w:r w:rsidR="00D70687">
          <w:rPr>
            <w:noProof/>
            <w:webHidden/>
          </w:rPr>
          <w:fldChar w:fldCharType="separate"/>
        </w:r>
        <w:r w:rsidR="004D31A6">
          <w:rPr>
            <w:noProof/>
            <w:webHidden/>
          </w:rPr>
          <w:t>14</w:t>
        </w:r>
        <w:r w:rsidR="00D70687">
          <w:rPr>
            <w:noProof/>
            <w:webHidden/>
          </w:rPr>
          <w:fldChar w:fldCharType="end"/>
        </w:r>
      </w:hyperlink>
    </w:p>
    <w:p w:rsidR="00D70687" w:rsidRDefault="00000000">
      <w:pPr>
        <w:pStyle w:val="TOC2"/>
        <w:tabs>
          <w:tab w:val="right" w:leader="dot" w:pos="10790"/>
        </w:tabs>
        <w:rPr>
          <w:rFonts w:asciiTheme="minorHAnsi" w:eastAsiaTheme="minorEastAsia" w:hAnsiTheme="minorHAnsi"/>
          <w:noProof/>
        </w:rPr>
      </w:pPr>
      <w:hyperlink w:anchor="_Toc17984666" w:history="1">
        <w:r w:rsidR="00D70687" w:rsidRPr="002973E3">
          <w:rPr>
            <w:rStyle w:val="Hyperlink"/>
            <w:noProof/>
          </w:rPr>
          <w:t>Documentation</w:t>
        </w:r>
        <w:r w:rsidR="00D70687">
          <w:rPr>
            <w:noProof/>
            <w:webHidden/>
          </w:rPr>
          <w:tab/>
        </w:r>
        <w:r w:rsidR="00D70687">
          <w:rPr>
            <w:noProof/>
            <w:webHidden/>
          </w:rPr>
          <w:fldChar w:fldCharType="begin"/>
        </w:r>
        <w:r w:rsidR="00D70687">
          <w:rPr>
            <w:noProof/>
            <w:webHidden/>
          </w:rPr>
          <w:instrText xml:space="preserve"> PAGEREF _Toc17984666 \h </w:instrText>
        </w:r>
        <w:r w:rsidR="00D70687">
          <w:rPr>
            <w:noProof/>
            <w:webHidden/>
          </w:rPr>
        </w:r>
        <w:r w:rsidR="00D70687">
          <w:rPr>
            <w:noProof/>
            <w:webHidden/>
          </w:rPr>
          <w:fldChar w:fldCharType="separate"/>
        </w:r>
        <w:r w:rsidR="004D31A6">
          <w:rPr>
            <w:noProof/>
            <w:webHidden/>
          </w:rPr>
          <w:t>15</w:t>
        </w:r>
        <w:r w:rsidR="00D70687">
          <w:rPr>
            <w:noProof/>
            <w:webHidden/>
          </w:rPr>
          <w:fldChar w:fldCharType="end"/>
        </w:r>
      </w:hyperlink>
    </w:p>
    <w:p w:rsidR="00D70687" w:rsidRDefault="00000000">
      <w:pPr>
        <w:pStyle w:val="TOC3"/>
        <w:tabs>
          <w:tab w:val="right" w:leader="dot" w:pos="10790"/>
        </w:tabs>
        <w:rPr>
          <w:rFonts w:asciiTheme="minorHAnsi" w:eastAsiaTheme="minorEastAsia" w:hAnsiTheme="minorHAnsi"/>
          <w:noProof/>
        </w:rPr>
      </w:pPr>
      <w:hyperlink w:anchor="_Toc17984667" w:history="1">
        <w:r w:rsidR="00D70687" w:rsidRPr="002973E3">
          <w:rPr>
            <w:rStyle w:val="Hyperlink"/>
            <w:noProof/>
          </w:rPr>
          <w:t>Missing Receipt Affidavit</w:t>
        </w:r>
        <w:r w:rsidR="00D70687">
          <w:rPr>
            <w:noProof/>
            <w:webHidden/>
          </w:rPr>
          <w:tab/>
        </w:r>
        <w:r w:rsidR="00D70687">
          <w:rPr>
            <w:noProof/>
            <w:webHidden/>
          </w:rPr>
          <w:fldChar w:fldCharType="begin"/>
        </w:r>
        <w:r w:rsidR="00D70687">
          <w:rPr>
            <w:noProof/>
            <w:webHidden/>
          </w:rPr>
          <w:instrText xml:space="preserve"> PAGEREF _Toc17984667 \h </w:instrText>
        </w:r>
        <w:r w:rsidR="00D70687">
          <w:rPr>
            <w:noProof/>
            <w:webHidden/>
          </w:rPr>
        </w:r>
        <w:r w:rsidR="00D70687">
          <w:rPr>
            <w:noProof/>
            <w:webHidden/>
          </w:rPr>
          <w:fldChar w:fldCharType="separate"/>
        </w:r>
        <w:r w:rsidR="004D31A6">
          <w:rPr>
            <w:noProof/>
            <w:webHidden/>
          </w:rPr>
          <w:t>15</w:t>
        </w:r>
        <w:r w:rsidR="00D70687">
          <w:rPr>
            <w:noProof/>
            <w:webHidden/>
          </w:rPr>
          <w:fldChar w:fldCharType="end"/>
        </w:r>
      </w:hyperlink>
    </w:p>
    <w:p w:rsidR="002D1D1E" w:rsidRDefault="00CD2B6E" w:rsidP="002D1D1E">
      <w:r>
        <w:rPr>
          <w:rFonts w:eastAsia="Times New Roman" w:cs="Times New Roman"/>
          <w:b/>
          <w:bCs/>
          <w:kern w:val="36"/>
          <w:sz w:val="48"/>
          <w:szCs w:val="48"/>
        </w:rPr>
        <w:fldChar w:fldCharType="end"/>
      </w:r>
    </w:p>
    <w:p w:rsidR="007E11C4" w:rsidRDefault="007E11C4">
      <w:r>
        <w:br w:type="page"/>
      </w:r>
    </w:p>
    <w:p w:rsidR="002D1D1E" w:rsidRDefault="002D1D1E" w:rsidP="009059EB">
      <w:pPr>
        <w:pStyle w:val="Heading1"/>
      </w:pPr>
      <w:bookmarkStart w:id="0" w:name="_Toc14693244"/>
      <w:bookmarkStart w:id="1" w:name="_Toc17984636"/>
      <w:r w:rsidRPr="00DE18C8">
        <w:lastRenderedPageBreak/>
        <w:t>Expense Reimbursement Guidelines</w:t>
      </w:r>
      <w:bookmarkEnd w:id="0"/>
      <w:bookmarkEnd w:id="1"/>
    </w:p>
    <w:p w:rsidR="00D560D6" w:rsidRPr="00DE18C8" w:rsidRDefault="00D560D6" w:rsidP="00770E9C">
      <w:pPr>
        <w:pStyle w:val="Heading2"/>
        <w:rPr>
          <w:rFonts w:ascii="Times New Roman" w:eastAsia="Times New Roman" w:hAnsi="Times New Roman"/>
        </w:rPr>
      </w:pPr>
      <w:bookmarkStart w:id="2" w:name="_Toc17984637"/>
      <w:r w:rsidRPr="00DE18C8">
        <w:rPr>
          <w:rFonts w:eastAsia="Times New Roman"/>
        </w:rPr>
        <w:t>Introduction</w:t>
      </w:r>
      <w:bookmarkEnd w:id="2"/>
    </w:p>
    <w:p w:rsidR="00D560D6" w:rsidRPr="00DE18C8" w:rsidRDefault="00D560D6" w:rsidP="00F06CC5">
      <w:r w:rsidRPr="00DE18C8">
        <w:t xml:space="preserve">Employees at Mount Holyoke </w:t>
      </w:r>
      <w:r>
        <w:t xml:space="preserve">College </w:t>
      </w:r>
      <w:r w:rsidRPr="00DE18C8">
        <w:t>have a responsibility to use resources wisely and carefully in furtherance of the</w:t>
      </w:r>
      <w:r w:rsidR="009316C3">
        <w:t xml:space="preserve"> College’s educational mission.</w:t>
      </w:r>
      <w:r w:rsidRPr="00DE18C8">
        <w:t xml:space="preserve"> The College is also subject to the scrutiny and requirements of outside entities including auditors, the IRS, federal and state government, private fou</w:t>
      </w:r>
      <w:r w:rsidR="009316C3">
        <w:t>ndations and granting agencies.</w:t>
      </w:r>
      <w:r w:rsidRPr="00DE18C8">
        <w:t xml:space="preserve"> According to IRS regulation, reimbursable travel and entertainment expenditures must be “ordinary, necessary and reasonable,” must be fully documented and must have a legitimate business purpose.</w:t>
      </w:r>
    </w:p>
    <w:p w:rsidR="002D1D1E" w:rsidRPr="00DE18C8" w:rsidRDefault="002D1D1E" w:rsidP="0063741D">
      <w:pPr>
        <w:rPr>
          <w:rFonts w:ascii="Times New Roman" w:hAnsi="Times New Roman"/>
        </w:rPr>
      </w:pPr>
      <w:r w:rsidRPr="00DE18C8">
        <w:t xml:space="preserve">The Expense Reimbursement Guidelines (Guidelines) establish standards and procedures regarding the reimbursement of reasonable business travel and entertainment costs in compliance with College policy and </w:t>
      </w:r>
      <w:r w:rsidR="0063741D">
        <w:t>applicable Federal regulations.</w:t>
      </w:r>
    </w:p>
    <w:p w:rsidR="002D1D1E" w:rsidRPr="00DE18C8" w:rsidRDefault="002D1D1E" w:rsidP="0063741D">
      <w:pPr>
        <w:rPr>
          <w:rFonts w:ascii="Times New Roman" w:hAnsi="Times New Roman"/>
        </w:rPr>
      </w:pPr>
      <w:r w:rsidRPr="00DE18C8">
        <w:t xml:space="preserve">The Guidelines are designed to ensure consistency and fair treatment for all members of the Mount Holyoke </w:t>
      </w:r>
      <w:r>
        <w:t xml:space="preserve">College </w:t>
      </w:r>
      <w:r w:rsidRPr="00DE18C8">
        <w:t xml:space="preserve">community whose </w:t>
      </w:r>
      <w:r w:rsidR="006915EE" w:rsidRPr="00DE18C8">
        <w:t xml:space="preserve">approved business </w:t>
      </w:r>
      <w:r w:rsidRPr="00DE18C8">
        <w:t>travel or approved business entertainment will be reimbursed or paid for by the College.</w:t>
      </w:r>
      <w:r w:rsidR="006F429C">
        <w:t xml:space="preserve"> </w:t>
      </w:r>
      <w:r w:rsidRPr="00DE18C8">
        <w:t>This policy also applies to visitors (e.g. speakers and candidates) whose trav</w:t>
      </w:r>
      <w:r w:rsidR="0063741D">
        <w:t>el is at the College’s expense.</w:t>
      </w:r>
    </w:p>
    <w:p w:rsidR="0017546B" w:rsidRPr="00DE18C8" w:rsidRDefault="0017546B" w:rsidP="0063741D">
      <w:pPr>
        <w:rPr>
          <w:rFonts w:ascii="Times New Roman" w:hAnsi="Times New Roman"/>
        </w:rPr>
      </w:pPr>
      <w:r w:rsidRPr="00DE18C8">
        <w:t>This policy is intended to:</w:t>
      </w:r>
    </w:p>
    <w:p w:rsidR="0063741D" w:rsidRPr="0017546B" w:rsidRDefault="0063741D" w:rsidP="0063741D">
      <w:pPr>
        <w:pStyle w:val="ListParagraph"/>
        <w:numPr>
          <w:ilvl w:val="0"/>
          <w:numId w:val="13"/>
        </w:numPr>
        <w:rPr>
          <w:rFonts w:ascii="Arial" w:hAnsi="Arial" w:cs="Arial"/>
          <w:sz w:val="20"/>
          <w:szCs w:val="20"/>
        </w:rPr>
      </w:pPr>
      <w:r w:rsidRPr="0017546B">
        <w:rPr>
          <w:rFonts w:cs="Arial"/>
        </w:rPr>
        <w:t xml:space="preserve">Clarify the responsibility for controlling and reporting </w:t>
      </w:r>
      <w:r w:rsidR="005F0257">
        <w:rPr>
          <w:rFonts w:cs="Arial"/>
        </w:rPr>
        <w:t>travel and entertainment costs</w:t>
      </w:r>
    </w:p>
    <w:p w:rsidR="0017546B" w:rsidRPr="0017546B" w:rsidRDefault="0017546B" w:rsidP="0017546B">
      <w:pPr>
        <w:pStyle w:val="ListParagraph"/>
        <w:numPr>
          <w:ilvl w:val="0"/>
          <w:numId w:val="13"/>
        </w:numPr>
        <w:rPr>
          <w:rFonts w:ascii="Arial" w:hAnsi="Arial" w:cs="Arial"/>
          <w:sz w:val="20"/>
          <w:szCs w:val="20"/>
        </w:rPr>
      </w:pPr>
      <w:r w:rsidRPr="0017546B">
        <w:rPr>
          <w:rFonts w:cs="Arial"/>
        </w:rPr>
        <w:t>Document reimbursable versus</w:t>
      </w:r>
      <w:r w:rsidR="005F0257">
        <w:rPr>
          <w:rFonts w:cs="Arial"/>
        </w:rPr>
        <w:t xml:space="preserve"> non-reimbursable expenditures</w:t>
      </w:r>
    </w:p>
    <w:p w:rsidR="0017546B" w:rsidRPr="0017546B" w:rsidRDefault="0017546B" w:rsidP="0017546B">
      <w:pPr>
        <w:pStyle w:val="ListParagraph"/>
        <w:numPr>
          <w:ilvl w:val="0"/>
          <w:numId w:val="13"/>
        </w:numPr>
        <w:rPr>
          <w:rFonts w:ascii="Arial" w:hAnsi="Arial" w:cs="Arial"/>
          <w:sz w:val="20"/>
          <w:szCs w:val="20"/>
        </w:rPr>
      </w:pPr>
      <w:r w:rsidRPr="0017546B">
        <w:rPr>
          <w:rFonts w:cs="Arial"/>
        </w:rPr>
        <w:t>I</w:t>
      </w:r>
      <w:r w:rsidR="005F0257">
        <w:rPr>
          <w:rFonts w:cs="Arial"/>
        </w:rPr>
        <w:t>dentify required documentation</w:t>
      </w:r>
    </w:p>
    <w:p w:rsidR="0017546B" w:rsidRPr="00DE18C8" w:rsidRDefault="0017546B" w:rsidP="00F06CC5">
      <w:pPr>
        <w:rPr>
          <w:rFonts w:ascii="Times New Roman" w:hAnsi="Times New Roman"/>
        </w:rPr>
      </w:pPr>
      <w:r w:rsidRPr="00DE18C8">
        <w:t>This policy is not intended to cover every situation</w:t>
      </w:r>
      <w:r>
        <w:t xml:space="preserve">. </w:t>
      </w:r>
      <w:r w:rsidRPr="00DE18C8">
        <w:t xml:space="preserve">Written documentation for exceptions, including signed approval by the applicable </w:t>
      </w:r>
      <w:r w:rsidRPr="00DE18C8">
        <w:rPr>
          <w:shd w:val="clear" w:color="auto" w:fill="FFFFFF"/>
        </w:rPr>
        <w:t>senior staff member</w:t>
      </w:r>
      <w:r w:rsidRPr="00DE18C8">
        <w:t>, must be forwarded to the Comptroller’s Office (Accounts Payable).</w:t>
      </w:r>
      <w:r w:rsidR="006915EE">
        <w:t xml:space="preserve"> </w:t>
      </w:r>
      <w:r w:rsidRPr="00DE18C8">
        <w:t>Certain gifts, grants or individual departments may have stricter policies or procedures than are contained within this policy.</w:t>
      </w:r>
      <w:r w:rsidR="006915EE">
        <w:t xml:space="preserve"> </w:t>
      </w:r>
      <w:r w:rsidRPr="00DE18C8">
        <w:t xml:space="preserve">Those stricter policies will supersede those contained within these Guidelines. Please see your department supervisor for any </w:t>
      </w:r>
      <w:r w:rsidR="006915EE">
        <w:t>additional guidelines</w:t>
      </w:r>
      <w:r w:rsidR="008355C2">
        <w:t xml:space="preserve"> or procedures</w:t>
      </w:r>
      <w:r w:rsidRPr="00DE18C8">
        <w:t>.</w:t>
      </w:r>
    </w:p>
    <w:p w:rsidR="002D1D1E" w:rsidRDefault="0017546B" w:rsidP="002D1D1E">
      <w:r w:rsidRPr="00DE18C8">
        <w:t>Enforcement of the Guidelines ultimately rests with the Comptroller with the oversight of the Vice President for Finance and Administration.</w:t>
      </w:r>
      <w:r w:rsidR="001F7C65">
        <w:t xml:space="preserve"> </w:t>
      </w:r>
      <w:r w:rsidRPr="00DE18C8">
        <w:t>Implementation questions should be directed to the Accounting Manager-Disbursements and Grant Accounting.</w:t>
      </w:r>
    </w:p>
    <w:p w:rsidR="00D563A6" w:rsidRPr="001F7C65" w:rsidRDefault="00D563A6" w:rsidP="00770E9C">
      <w:pPr>
        <w:pStyle w:val="Heading2"/>
      </w:pPr>
      <w:bookmarkStart w:id="3" w:name="_Toc17984638"/>
      <w:r w:rsidRPr="001F7C65">
        <w:t>Travel and Entertainment Policy Statement</w:t>
      </w:r>
      <w:bookmarkEnd w:id="3"/>
    </w:p>
    <w:p w:rsidR="00D563A6" w:rsidRDefault="00D563A6" w:rsidP="001F7C65">
      <w:r>
        <w:t>This policy statement describes the procedures under which Mount Holyoke College reimburses staff members for expenses incurred for official travel and entertainment.</w:t>
      </w:r>
    </w:p>
    <w:p w:rsidR="00D563A6" w:rsidRDefault="00D563A6" w:rsidP="009316C3">
      <w:r>
        <w:t>Faculty travel and entertainment, when associated with recruitment, scholarly and professional conferences, visiting committees, guest lecturers and other activities directly connected to the academic program operate under guidelines similar in spirit</w:t>
      </w:r>
      <w:r w:rsidR="00881D1D">
        <w:t xml:space="preserve">, </w:t>
      </w:r>
      <w:r>
        <w:t>annual updates on procedure issued by the Dean of Faculty. When faculty travel or entertain</w:t>
      </w:r>
      <w:r w:rsidR="001F7C65">
        <w:t>ment</w:t>
      </w:r>
      <w:r>
        <w:t xml:space="preserve"> on behalf of the College at the request of administrative departments (i.e., Admissions, Development, Alumnae Association), the following guidelines do apply.</w:t>
      </w:r>
    </w:p>
    <w:p w:rsidR="00D563A6" w:rsidRDefault="00D563A6" w:rsidP="001F7C65">
      <w:pPr>
        <w:pStyle w:val="ListParagraph"/>
        <w:numPr>
          <w:ilvl w:val="0"/>
          <w:numId w:val="15"/>
        </w:numPr>
      </w:pPr>
      <w:r>
        <w:t>The College's policy of reimbursement follows the basic principle that individuals should neither gain nor lose personal funds as a result of official travel and entertainment. Each individual should be reimbursed for all necessary and reasonable expenses incurred in connection with the performance of approved College business.</w:t>
      </w:r>
    </w:p>
    <w:p w:rsidR="00D563A6" w:rsidRDefault="00D563A6" w:rsidP="001F7C65">
      <w:pPr>
        <w:pStyle w:val="ListParagraph"/>
        <w:numPr>
          <w:ilvl w:val="0"/>
          <w:numId w:val="15"/>
        </w:numPr>
      </w:pPr>
      <w:r>
        <w:lastRenderedPageBreak/>
        <w:t>Expenditures should be planned so that costs will not exceed budgetary limitations. Individuals must not make commitments to travel or to incur other expenses without first assuring that the proposed expenses are authorized.</w:t>
      </w:r>
    </w:p>
    <w:p w:rsidR="00D563A6" w:rsidRDefault="00D563A6" w:rsidP="001F7C65">
      <w:pPr>
        <w:pStyle w:val="ListParagraph"/>
        <w:numPr>
          <w:ilvl w:val="0"/>
          <w:numId w:val="15"/>
        </w:numPr>
      </w:pPr>
      <w:r>
        <w:t>Individuals who are authorized to approve requests for reimbursement must review all expense report forms to assure compliance and therefore should also familiarize themselves with these guidelines.</w:t>
      </w:r>
    </w:p>
    <w:p w:rsidR="00D563A6" w:rsidRDefault="00D563A6" w:rsidP="001F7C65">
      <w:r>
        <w:t>Travelers are advised to check with Accounts Payable for specific reimbursement requirements prior to making a</w:t>
      </w:r>
      <w:r w:rsidR="001F7C65">
        <w:t>nd booking travel arrangements.</w:t>
      </w:r>
      <w:r>
        <w:t xml:space="preserve"> Travelers can also check with Purchasing </w:t>
      </w:r>
      <w:r w:rsidR="001F7C65">
        <w:t xml:space="preserve">in order to ensure the use of </w:t>
      </w:r>
      <w:r>
        <w:t>negotiated contracts for travel related services.</w:t>
      </w:r>
    </w:p>
    <w:p w:rsidR="007639BA" w:rsidRPr="00DE18C8" w:rsidRDefault="007639BA" w:rsidP="00770E9C">
      <w:pPr>
        <w:pStyle w:val="Heading2"/>
        <w:rPr>
          <w:rFonts w:eastAsia="Times New Roman"/>
        </w:rPr>
      </w:pPr>
      <w:bookmarkStart w:id="4" w:name="_Toc17984639"/>
      <w:r w:rsidRPr="00ED2099">
        <w:t>Related</w:t>
      </w:r>
      <w:r w:rsidRPr="00DE18C8">
        <w:rPr>
          <w:rFonts w:eastAsia="Times New Roman"/>
        </w:rPr>
        <w:t xml:space="preserve"> </w:t>
      </w:r>
      <w:r w:rsidRPr="007639BA">
        <w:t>Policies</w:t>
      </w:r>
      <w:bookmarkEnd w:id="4"/>
    </w:p>
    <w:p w:rsidR="00EE2971" w:rsidRPr="00DE18C8" w:rsidRDefault="00EE2971" w:rsidP="00EE2971">
      <w:pPr>
        <w:pStyle w:val="Heading3"/>
        <w:rPr>
          <w:rFonts w:ascii="Times New Roman" w:hAnsi="Times New Roman"/>
        </w:rPr>
      </w:pPr>
      <w:bookmarkStart w:id="5" w:name="_Toc17984640"/>
      <w:r w:rsidRPr="00157EAC">
        <w:t>Purchasing</w:t>
      </w:r>
      <w:r w:rsidRPr="00DE18C8">
        <w:t xml:space="preserve"> Depa</w:t>
      </w:r>
      <w:r w:rsidRPr="007639BA">
        <w:rPr>
          <w:rStyle w:val="Heading4Char"/>
        </w:rPr>
        <w:t>r</w:t>
      </w:r>
      <w:r w:rsidRPr="00DE18C8">
        <w:t>tment Policies and Information</w:t>
      </w:r>
      <w:bookmarkEnd w:id="5"/>
    </w:p>
    <w:p w:rsidR="00EE2971" w:rsidRPr="00DE18C8" w:rsidRDefault="00000000" w:rsidP="00EE2971">
      <w:pPr>
        <w:rPr>
          <w:rFonts w:ascii="Times New Roman" w:hAnsi="Times New Roman"/>
        </w:rPr>
      </w:pPr>
      <w:hyperlink r:id="rId8" w:history="1">
        <w:r w:rsidR="00EE2971" w:rsidRPr="00DE18C8">
          <w:rPr>
            <w:color w:val="0000FF"/>
            <w:u w:val="single"/>
          </w:rPr>
          <w:t>https://www.mtholyoke.edu/purchasing</w:t>
        </w:r>
      </w:hyperlink>
    </w:p>
    <w:p w:rsidR="00EE2971" w:rsidRPr="00DE18C8" w:rsidRDefault="00EE2971" w:rsidP="00EE2971">
      <w:pPr>
        <w:pStyle w:val="Heading3"/>
        <w:rPr>
          <w:rFonts w:ascii="Times New Roman" w:hAnsi="Times New Roman"/>
        </w:rPr>
      </w:pPr>
      <w:bookmarkStart w:id="6" w:name="_Toc17984641"/>
      <w:r w:rsidRPr="00D14F2E">
        <w:t>Spouse/Partner/Companion Travel</w:t>
      </w:r>
      <w:bookmarkEnd w:id="6"/>
    </w:p>
    <w:p w:rsidR="00EE2971" w:rsidRDefault="00EE2971" w:rsidP="00EE2971">
      <w:r w:rsidRPr="00DE18C8">
        <w:t>IRS regulations state that any reimbursement for companion travel is considered taxable income to the employee unless the companion travel is a) for a bona fide business purpose, b) benefits the College, and c) is documented. In rare circumstances, if authorized in advance by the president, the College will reimburse for travel, meals and expenses of the spouse/partner of an employee.</w:t>
      </w:r>
    </w:p>
    <w:p w:rsidR="00D14F2E" w:rsidRDefault="00D14F2E" w:rsidP="00EE2971">
      <w:r>
        <w:t xml:space="preserve">For a complete description, please visit the site: </w:t>
      </w:r>
      <w:hyperlink r:id="rId9" w:history="1">
        <w:r w:rsidRPr="00D14F2E">
          <w:rPr>
            <w:rStyle w:val="Hyperlink"/>
          </w:rPr>
          <w:t>Spouse/Partner Travel</w:t>
        </w:r>
      </w:hyperlink>
      <w:r>
        <w:t>.</w:t>
      </w:r>
    </w:p>
    <w:p w:rsidR="000B2B91" w:rsidRDefault="000B2B91" w:rsidP="007C7C6C">
      <w:pPr>
        <w:pStyle w:val="Heading3"/>
      </w:pPr>
      <w:bookmarkStart w:id="7" w:name="_Toc17984642"/>
      <w:r>
        <w:t>Personal Travel</w:t>
      </w:r>
      <w:bookmarkEnd w:id="7"/>
    </w:p>
    <w:p w:rsidR="000B2B91" w:rsidRDefault="000B2B91" w:rsidP="000B2B91">
      <w:r>
        <w:t>If personal travel is taken before or after college-business travel involving airline costs, please provide documentation of what the airfare of the trip would have been for business only, for comparison and to calculate the difference. Employees are responsible for airline cost difference and any additional costs related to extended personal travel (extra lodging, auto rental, meals, etc.).</w:t>
      </w:r>
    </w:p>
    <w:p w:rsidR="000B2B91" w:rsidRDefault="000B2B91" w:rsidP="000B2B91">
      <w:r>
        <w:t>In addition, if traveling with family members and larger lodging accommodations and/or transportation needs are required, please provide estimates for comparison if booked for Mount Holyoke College employee only. Employee is responsible for the difference.</w:t>
      </w:r>
    </w:p>
    <w:p w:rsidR="00D25ECE" w:rsidRPr="00DE18C8" w:rsidRDefault="00D25ECE" w:rsidP="007C7C6C">
      <w:pPr>
        <w:pStyle w:val="Heading3"/>
        <w:rPr>
          <w:rFonts w:ascii="Times New Roman" w:hAnsi="Times New Roman"/>
        </w:rPr>
      </w:pPr>
      <w:bookmarkStart w:id="8" w:name="_Toc17984643"/>
      <w:r w:rsidRPr="00DE18C8">
        <w:t>Travel Advances</w:t>
      </w:r>
      <w:bookmarkEnd w:id="8"/>
    </w:p>
    <w:p w:rsidR="00755BF1" w:rsidRPr="00DE18C8" w:rsidRDefault="00D25ECE" w:rsidP="00755BF1">
      <w:r w:rsidRPr="00DE18C8">
        <w:t xml:space="preserve">A </w:t>
      </w:r>
      <w:hyperlink r:id="rId10" w:history="1">
        <w:r w:rsidRPr="00DF0FAC">
          <w:rPr>
            <w:rStyle w:val="Hyperlink"/>
          </w:rPr>
          <w:t>travel advance</w:t>
        </w:r>
      </w:hyperlink>
      <w:r w:rsidRPr="00DE18C8">
        <w:t xml:space="preserve"> may be obtained from Accounts Payable to cover anticipated incidental expenses. A properly completed </w:t>
      </w:r>
      <w:hyperlink r:id="rId11" w:history="1">
        <w:r w:rsidRPr="007C7C6C">
          <w:rPr>
            <w:rStyle w:val="Hyperlink"/>
          </w:rPr>
          <w:t xml:space="preserve">Travel Advance </w:t>
        </w:r>
        <w:r w:rsidR="004564ED">
          <w:rPr>
            <w:rStyle w:val="Hyperlink"/>
          </w:rPr>
          <w:t xml:space="preserve">Authorization </w:t>
        </w:r>
        <w:r w:rsidRPr="007C7C6C">
          <w:rPr>
            <w:rStyle w:val="Hyperlink"/>
          </w:rPr>
          <w:t>Form</w:t>
        </w:r>
      </w:hyperlink>
      <w:r w:rsidR="007A1BDE">
        <w:t xml:space="preserve"> accompanied by documentation</w:t>
      </w:r>
      <w:r w:rsidRPr="00DE18C8">
        <w:t xml:space="preserve"> for the need for the advance should be submitted to Accounts Payable at least 10 days prior to departure.</w:t>
      </w:r>
      <w:r w:rsidR="00755BF1">
        <w:t xml:space="preserve"> Included with your request should be an itemization of funds requested. Attaching brochures or other documentation that highlights the cost are always encouraged to help support your request.</w:t>
      </w:r>
    </w:p>
    <w:p w:rsidR="00D25ECE" w:rsidRPr="00DE18C8" w:rsidRDefault="00D25ECE" w:rsidP="00D25ECE">
      <w:pPr>
        <w:rPr>
          <w:rFonts w:ascii="Times New Roman" w:hAnsi="Times New Roman"/>
        </w:rPr>
      </w:pPr>
      <w:r w:rsidRPr="00DE18C8">
        <w:t xml:space="preserve">An individual cannot have more than one travel advance outstanding at any one time. All travel advances must be reconciled by completing and submitting a </w:t>
      </w:r>
      <w:hyperlink r:id="rId12" w:history="1">
        <w:r w:rsidR="004564ED">
          <w:rPr>
            <w:rStyle w:val="Hyperlink"/>
          </w:rPr>
          <w:t>Travel &amp; Entertainment Expense Repor</w:t>
        </w:r>
        <w:r w:rsidRPr="00D25ECE">
          <w:rPr>
            <w:rStyle w:val="Hyperlink"/>
          </w:rPr>
          <w:t>t</w:t>
        </w:r>
      </w:hyperlink>
      <w:r w:rsidRPr="00DE18C8">
        <w:t xml:space="preserve"> within two weeks after the travel has been completed. Advances outstanding over 60 days will cause future reimbursements to be placed on hold until the advance is reconciled completely.</w:t>
      </w:r>
    </w:p>
    <w:p w:rsidR="00EE2971" w:rsidRDefault="00EE2971" w:rsidP="00EE2971">
      <w:pPr>
        <w:pStyle w:val="Heading3"/>
      </w:pPr>
      <w:bookmarkStart w:id="9" w:name="_Toc17984644"/>
      <w:r w:rsidRPr="00DE18C8">
        <w:t>Accounts Payable Check Disposition and Pick Up Policy</w:t>
      </w:r>
      <w:bookmarkEnd w:id="9"/>
    </w:p>
    <w:p w:rsidR="004564ED" w:rsidRDefault="00EE2971" w:rsidP="00A510E5">
      <w:r w:rsidRPr="00DE18C8">
        <w:t>Checks issued by accounts payable are typically mailed directly to the vendor and are not available for pick-up.</w:t>
      </w:r>
      <w:r w:rsidR="004564ED">
        <w:t xml:space="preserve"> </w:t>
      </w:r>
    </w:p>
    <w:p w:rsidR="00A510E5" w:rsidRDefault="004564ED" w:rsidP="00A510E5">
      <w:pPr>
        <w:rPr>
          <w:rStyle w:val="Hyperlink"/>
        </w:rPr>
      </w:pPr>
      <w:r>
        <w:t xml:space="preserve">For complete details, please visit: </w:t>
      </w:r>
      <w:hyperlink r:id="rId13" w:history="1">
        <w:r w:rsidRPr="0044125E">
          <w:rPr>
            <w:rStyle w:val="Hyperlink"/>
          </w:rPr>
          <w:t>https://www.mtholyoke.edu/financial/checkreturnpolicy</w:t>
        </w:r>
      </w:hyperlink>
    </w:p>
    <w:p w:rsidR="00A40D31" w:rsidRDefault="00A40D31" w:rsidP="00A510E5">
      <w:pPr>
        <w:rPr>
          <w:rStyle w:val="Hyperlink"/>
        </w:rPr>
      </w:pPr>
    </w:p>
    <w:p w:rsidR="00A40D31" w:rsidRPr="00DE18C8" w:rsidRDefault="00A40D31" w:rsidP="00A510E5">
      <w:pPr>
        <w:rPr>
          <w:rFonts w:ascii="Times New Roman" w:hAnsi="Times New Roman"/>
        </w:rPr>
      </w:pPr>
    </w:p>
    <w:p w:rsidR="00ED2099" w:rsidRPr="00DE18C8" w:rsidRDefault="00ED2099" w:rsidP="007C7C6C">
      <w:pPr>
        <w:pStyle w:val="Heading3"/>
        <w:rPr>
          <w:rFonts w:ascii="Times New Roman" w:hAnsi="Times New Roman"/>
        </w:rPr>
      </w:pPr>
      <w:bookmarkStart w:id="10" w:name="_Toc17984645"/>
      <w:r w:rsidRPr="00DE18C8">
        <w:lastRenderedPageBreak/>
        <w:t>AMEX Corporate Card</w:t>
      </w:r>
      <w:bookmarkEnd w:id="10"/>
    </w:p>
    <w:p w:rsidR="00ED2099" w:rsidRPr="00DE18C8" w:rsidRDefault="00ED2099" w:rsidP="00ED2099">
      <w:pPr>
        <w:rPr>
          <w:rFonts w:ascii="Times New Roman" w:hAnsi="Times New Roman"/>
        </w:rPr>
      </w:pPr>
      <w:r w:rsidRPr="00DE18C8">
        <w:t>For the convenience of travelers, the College has an agreement with American Express to provide an American Express Corporate Card (</w:t>
      </w:r>
      <w:hyperlink r:id="rId14" w:history="1">
        <w:r w:rsidRPr="00093947">
          <w:rPr>
            <w:rStyle w:val="Hyperlink"/>
          </w:rPr>
          <w:t>Amex Card</w:t>
        </w:r>
      </w:hyperlink>
      <w:r w:rsidRPr="00DE18C8">
        <w:t xml:space="preserve">). This option is available to frequent travelers with the approval of </w:t>
      </w:r>
      <w:r>
        <w:t>the</w:t>
      </w:r>
      <w:r w:rsidR="00F74A24">
        <w:t>ir supervisor.</w:t>
      </w:r>
    </w:p>
    <w:p w:rsidR="00ED2099" w:rsidRPr="00AA35D6" w:rsidRDefault="00ED2099" w:rsidP="00A43DB9">
      <w:pPr>
        <w:jc w:val="center"/>
        <w:rPr>
          <w:rFonts w:ascii="Times New Roman" w:hAnsi="Times New Roman"/>
          <w:i/>
        </w:rPr>
      </w:pPr>
      <w:r w:rsidRPr="00AA35D6">
        <w:rPr>
          <w:i/>
        </w:rPr>
        <w:t xml:space="preserve">The Amex Card is to be used only for travel and entertainment </w:t>
      </w:r>
      <w:r w:rsidR="00A43DB9">
        <w:rPr>
          <w:i/>
        </w:rPr>
        <w:t xml:space="preserve">expenses incurred in connection </w:t>
      </w:r>
      <w:r w:rsidRPr="00AA35D6">
        <w:rPr>
          <w:i/>
        </w:rPr>
        <w:t>with official College business and is not to be used for personal expenses of any kind.</w:t>
      </w:r>
    </w:p>
    <w:p w:rsidR="00A43DB9" w:rsidRDefault="00ED2099" w:rsidP="00ED2099">
      <w:r w:rsidRPr="00DE18C8">
        <w:t xml:space="preserve">The traveler should charge every business travel expense to the card; i.e., airline tickets, hotels, car rentals, meals and other travel expenses in accordance with the travel and reimbursement guidelines. </w:t>
      </w:r>
    </w:p>
    <w:p w:rsidR="00A43DB9" w:rsidRPr="00DE18C8" w:rsidRDefault="00A43DB9" w:rsidP="00A43DB9">
      <w:pPr>
        <w:rPr>
          <w:rFonts w:ascii="Times New Roman" w:hAnsi="Times New Roman"/>
        </w:rPr>
      </w:pPr>
      <w:r w:rsidRPr="00DE18C8">
        <w:t>American Express will send a bill directly to the individual cardholder for expens</w:t>
      </w:r>
      <w:r>
        <w:t>es charged to the card monthly.</w:t>
      </w:r>
      <w:r w:rsidRPr="00DE18C8">
        <w:t xml:space="preserve"> Payment is due upon receipt. The College will not reimburse late fees assessed as a result of late payment by the cardholder. </w:t>
      </w:r>
    </w:p>
    <w:p w:rsidR="00ED2099" w:rsidRPr="00DE18C8" w:rsidRDefault="00ED2099" w:rsidP="00ED2099">
      <w:pPr>
        <w:rPr>
          <w:rFonts w:ascii="Times New Roman" w:hAnsi="Times New Roman"/>
        </w:rPr>
      </w:pPr>
      <w:r w:rsidRPr="00DE18C8">
        <w:t xml:space="preserve">The cardholder should submit a </w:t>
      </w:r>
      <w:hyperlink r:id="rId15" w:history="1">
        <w:r w:rsidRPr="00A43DB9">
          <w:rPr>
            <w:rStyle w:val="Hyperlink"/>
          </w:rPr>
          <w:t>Travel &amp; Entertainment Expense Report</w:t>
        </w:r>
      </w:hyperlink>
      <w:r w:rsidRPr="00DE18C8">
        <w:t xml:space="preserve"> form to </w:t>
      </w:r>
      <w:hyperlink r:id="rId16" w:history="1">
        <w:r w:rsidRPr="00A43DB9">
          <w:rPr>
            <w:rStyle w:val="Hyperlink"/>
          </w:rPr>
          <w:t>Financial Services</w:t>
        </w:r>
      </w:hyperlink>
      <w:r w:rsidRPr="00DE18C8">
        <w:t xml:space="preserve"> as soon as possible after the trip. Financial Services will promptly process the request and will issue payment to the traveler so the traveler receives reimbursement of expenses before the charge appears on the American Express bill.</w:t>
      </w:r>
      <w:r w:rsidR="00A43DB9" w:rsidRPr="00A43DB9">
        <w:t xml:space="preserve"> </w:t>
      </w:r>
      <w:r w:rsidR="00A43DB9" w:rsidRPr="00DE18C8">
        <w:t>It is the responsibility of the cardholder to submit expense reports in a timely manner and to pay all charges made against the card when due.</w:t>
      </w:r>
    </w:p>
    <w:p w:rsidR="00A43DB9" w:rsidRPr="00DE18C8" w:rsidRDefault="00A43DB9" w:rsidP="00A43DB9">
      <w:pPr>
        <w:rPr>
          <w:rFonts w:ascii="Times New Roman" w:hAnsi="Times New Roman"/>
        </w:rPr>
      </w:pPr>
      <w:r w:rsidRPr="00DE18C8">
        <w:t>The College and American Express reserve the right to cancel any corporate credit card in accordance with the delinquency provisions of the contract or for other credit card abuses. Individuals must immediately return the credit card to the Financial Services Office, 2 Skinner Hall, upon notice of cancellation.</w:t>
      </w:r>
    </w:p>
    <w:p w:rsidR="00ED2099" w:rsidRPr="00DE18C8" w:rsidRDefault="00ED2099" w:rsidP="00ED2099">
      <w:pPr>
        <w:rPr>
          <w:rFonts w:ascii="Times New Roman" w:hAnsi="Times New Roman"/>
        </w:rPr>
      </w:pPr>
      <w:r w:rsidRPr="00DE18C8">
        <w:t>Individuals who are issued an American Express Corporate Card are required to return the card to the Financial Services Office</w:t>
      </w:r>
      <w:r w:rsidR="00A43DB9">
        <w:t>,</w:t>
      </w:r>
      <w:r w:rsidRPr="00DE18C8">
        <w:t xml:space="preserve"> Room 2 Skinner Hall</w:t>
      </w:r>
      <w:r w:rsidR="00A43DB9">
        <w:t>,</w:t>
      </w:r>
      <w:r w:rsidRPr="00DE18C8">
        <w:t xml:space="preserve"> upon termination of employment. </w:t>
      </w:r>
    </w:p>
    <w:p w:rsidR="00ED2099" w:rsidRPr="00DE18C8" w:rsidRDefault="00ED2099" w:rsidP="00ED2099">
      <w:pPr>
        <w:rPr>
          <w:rFonts w:ascii="Times New Roman" w:hAnsi="Times New Roman"/>
        </w:rPr>
      </w:pPr>
      <w:r w:rsidRPr="00DE18C8">
        <w:t xml:space="preserve">For additional information, contact the </w:t>
      </w:r>
      <w:hyperlink r:id="rId17" w:history="1">
        <w:r w:rsidR="00EA48E3" w:rsidRPr="00A43DB9">
          <w:rPr>
            <w:rStyle w:val="Hyperlink"/>
          </w:rPr>
          <w:t>Financial Services</w:t>
        </w:r>
      </w:hyperlink>
      <w:r w:rsidRPr="00DE18C8">
        <w:t xml:space="preserve"> (ext. 2824).</w:t>
      </w:r>
    </w:p>
    <w:p w:rsidR="00ED2099" w:rsidRPr="00DE18C8" w:rsidRDefault="00ED2099" w:rsidP="00646502">
      <w:pPr>
        <w:pStyle w:val="Heading3"/>
        <w:rPr>
          <w:rFonts w:ascii="Times New Roman" w:hAnsi="Times New Roman"/>
        </w:rPr>
      </w:pPr>
      <w:bookmarkStart w:id="11" w:name="_Toc17984646"/>
      <w:r w:rsidRPr="00DE18C8">
        <w:t>Travel Agencies</w:t>
      </w:r>
      <w:bookmarkEnd w:id="11"/>
    </w:p>
    <w:p w:rsidR="00746A22" w:rsidRDefault="00ED2099" w:rsidP="00D43A4D">
      <w:r w:rsidRPr="00DE18C8">
        <w:t xml:space="preserve">The College has designated </w:t>
      </w:r>
      <w:r w:rsidR="00981E0A">
        <w:t>travel a</w:t>
      </w:r>
      <w:r w:rsidRPr="00DE18C8">
        <w:t>gencies to provide travel services to individuals traveling on College business and have received a travel authorization number from the Accounts Payable staff</w:t>
      </w:r>
      <w:r w:rsidR="00981E0A">
        <w:t xml:space="preserve">. </w:t>
      </w:r>
    </w:p>
    <w:p w:rsidR="00C054D8" w:rsidRDefault="00C054D8" w:rsidP="00C054D8">
      <w:r w:rsidRPr="00DE18C8">
        <w:t>These agencies will make arrangements for transportation, hotel reservations and</w:t>
      </w:r>
      <w:r>
        <w:t>/or</w:t>
      </w:r>
      <w:r w:rsidRPr="00DE18C8">
        <w:t xml:space="preserve"> vehicle rentals. All travel arrangements should be made well in advance</w:t>
      </w:r>
      <w:r>
        <w:t>. A</w:t>
      </w:r>
      <w:r w:rsidRPr="00DE18C8">
        <w:t>ir fare booked early can often be obtained at a much lower rate. They are also very knowledgeable of the lowest cost available hotel rooms and can make arrangements for shuttle services to/from the airport and/or hotels.</w:t>
      </w:r>
      <w:r>
        <w:t xml:space="preserve"> </w:t>
      </w:r>
    </w:p>
    <w:p w:rsidR="00C054D8" w:rsidRPr="00D43A4D" w:rsidRDefault="00C054D8" w:rsidP="00C054D8">
      <w:pPr>
        <w:rPr>
          <w:rFonts w:ascii="Times New Roman" w:hAnsi="Times New Roman"/>
        </w:rPr>
      </w:pPr>
      <w:r>
        <w:t>Arrangements made through travel agencies require submission of the properly completed Travel Forms.</w:t>
      </w:r>
    </w:p>
    <w:p w:rsidR="00746A22" w:rsidRDefault="00981E0A" w:rsidP="00D43A4D">
      <w:r>
        <w:t xml:space="preserve">To learn more about the </w:t>
      </w:r>
      <w:r w:rsidR="00E322E2">
        <w:t xml:space="preserve">preferred </w:t>
      </w:r>
      <w:r>
        <w:t>author</w:t>
      </w:r>
      <w:r w:rsidR="00746A22">
        <w:t>iz</w:t>
      </w:r>
      <w:r>
        <w:t xml:space="preserve">ed travel agencies, please visit the </w:t>
      </w:r>
      <w:hyperlink r:id="rId18" w:history="1">
        <w:r w:rsidRPr="00981E0A">
          <w:rPr>
            <w:rStyle w:val="Hyperlink"/>
          </w:rPr>
          <w:t>Financial Services</w:t>
        </w:r>
      </w:hyperlink>
      <w:r>
        <w:t xml:space="preserve"> site for </w:t>
      </w:r>
      <w:r w:rsidR="00E322E2">
        <w:t xml:space="preserve">more information about </w:t>
      </w:r>
      <w:r w:rsidR="00746A22" w:rsidRPr="00DF0FAC">
        <w:rPr>
          <w:b/>
          <w:i/>
        </w:rPr>
        <w:t>Egencia</w:t>
      </w:r>
      <w:r w:rsidR="00746A22">
        <w:t xml:space="preserve"> and </w:t>
      </w:r>
      <w:r w:rsidR="00746A22" w:rsidRPr="00DF0FAC">
        <w:rPr>
          <w:b/>
          <w:i/>
        </w:rPr>
        <w:t>the Travel Collaborative</w:t>
      </w:r>
      <w:r w:rsidR="00746A22">
        <w:t>.</w:t>
      </w:r>
      <w:r w:rsidR="00E322E2">
        <w:t xml:space="preserve"> </w:t>
      </w:r>
      <w:r w:rsidR="00746A22">
        <w:t>In addition, the following agenc</w:t>
      </w:r>
      <w:r w:rsidR="00E322E2">
        <w:t>ies are still available f</w:t>
      </w:r>
      <w:r w:rsidR="00C054D8">
        <w:t>or</w:t>
      </w:r>
      <w:r w:rsidR="00E322E2">
        <w:t xml:space="preserve"> use:</w:t>
      </w:r>
    </w:p>
    <w:p w:rsidR="00FD40CC" w:rsidRPr="00FD40CC" w:rsidRDefault="00FD40CC" w:rsidP="00746A22">
      <w:pPr>
        <w:pStyle w:val="ListParagraph"/>
        <w:numPr>
          <w:ilvl w:val="0"/>
          <w:numId w:val="21"/>
        </w:numPr>
        <w:rPr>
          <w:rFonts w:ascii="Arial" w:hAnsi="Arial" w:cs="Arial"/>
        </w:rPr>
      </w:pPr>
      <w:r>
        <w:rPr>
          <w:rFonts w:ascii="Arial" w:hAnsi="Arial" w:cs="Arial"/>
        </w:rPr>
        <w:t>The Travel Collaborative (617) 497-8106 or bz@travelcoll.com</w:t>
      </w:r>
    </w:p>
    <w:p w:rsidR="00746A22" w:rsidRPr="00D43A4D" w:rsidRDefault="00746A22" w:rsidP="00746A22">
      <w:pPr>
        <w:pStyle w:val="ListParagraph"/>
        <w:numPr>
          <w:ilvl w:val="0"/>
          <w:numId w:val="21"/>
        </w:numPr>
        <w:rPr>
          <w:rFonts w:ascii="Arial" w:hAnsi="Arial" w:cs="Arial"/>
        </w:rPr>
      </w:pPr>
      <w:r w:rsidRPr="00D43A4D">
        <w:rPr>
          <w:rFonts w:cs="Arial"/>
        </w:rPr>
        <w:t>Carlson/Accent Travel, Inc. (800) 237-0109 or (800) 866-0110</w:t>
      </w:r>
    </w:p>
    <w:p w:rsidR="00746A22" w:rsidRPr="00D43A4D" w:rsidRDefault="00746A22" w:rsidP="00746A22">
      <w:pPr>
        <w:pStyle w:val="ListParagraph"/>
        <w:numPr>
          <w:ilvl w:val="0"/>
          <w:numId w:val="21"/>
        </w:numPr>
        <w:rPr>
          <w:rFonts w:ascii="Arial" w:hAnsi="Arial" w:cs="Arial"/>
        </w:rPr>
      </w:pPr>
      <w:r w:rsidRPr="00D43A4D">
        <w:rPr>
          <w:rFonts w:cs="Arial"/>
        </w:rPr>
        <w:t xml:space="preserve">South Hadley Travel, Inc. </w:t>
      </w:r>
      <w:r>
        <w:rPr>
          <w:rFonts w:cs="Arial"/>
        </w:rPr>
        <w:t xml:space="preserve">(413) </w:t>
      </w:r>
      <w:r w:rsidRPr="00D43A4D">
        <w:rPr>
          <w:rFonts w:cs="Arial"/>
        </w:rPr>
        <w:t>536-7747</w:t>
      </w:r>
    </w:p>
    <w:p w:rsidR="00C851D5" w:rsidRDefault="00C851D5" w:rsidP="00EC0FD6">
      <w:pPr>
        <w:pStyle w:val="Heading3"/>
      </w:pPr>
      <w:bookmarkStart w:id="12" w:name="_Toc17984647"/>
      <w:r>
        <w:t xml:space="preserve">TA </w:t>
      </w:r>
      <w:r w:rsidRPr="00A24BD6">
        <w:t>Number</w:t>
      </w:r>
      <w:bookmarkEnd w:id="12"/>
    </w:p>
    <w:p w:rsidR="00C851D5" w:rsidRDefault="00D43A4D" w:rsidP="00D43A4D">
      <w:r w:rsidRPr="00DE18C8">
        <w:t xml:space="preserve">Before making final reservations, the traveler </w:t>
      </w:r>
      <w:r w:rsidR="00682EC5">
        <w:t xml:space="preserve">or department representative </w:t>
      </w:r>
      <w:r w:rsidR="00DF0FAC">
        <w:t>making arrangements for visitors to campus</w:t>
      </w:r>
      <w:r w:rsidR="00682EC5">
        <w:t xml:space="preserve">, </w:t>
      </w:r>
      <w:r w:rsidRPr="00DE18C8">
        <w:t xml:space="preserve">should complete a </w:t>
      </w:r>
      <w:hyperlink r:id="rId19" w:history="1">
        <w:r w:rsidRPr="00DF0FAC">
          <w:rPr>
            <w:rStyle w:val="Hyperlink"/>
          </w:rPr>
          <w:t>Travel Advance</w:t>
        </w:r>
        <w:r w:rsidR="00DF0FAC" w:rsidRPr="00DF0FAC">
          <w:rPr>
            <w:rStyle w:val="Hyperlink"/>
          </w:rPr>
          <w:t xml:space="preserve"> </w:t>
        </w:r>
        <w:r w:rsidR="00EA48E3" w:rsidRPr="00DF0FAC">
          <w:rPr>
            <w:rStyle w:val="Hyperlink"/>
          </w:rPr>
          <w:t>Authorization</w:t>
        </w:r>
      </w:hyperlink>
      <w:r w:rsidR="00EA48E3" w:rsidRPr="00DF0FAC">
        <w:t xml:space="preserve"> </w:t>
      </w:r>
      <w:r w:rsidR="00EA48E3">
        <w:t>form</w:t>
      </w:r>
      <w:r w:rsidRPr="00DE18C8">
        <w:t xml:space="preserve"> to obtain a TA number which </w:t>
      </w:r>
      <w:r w:rsidRPr="00DE18C8">
        <w:lastRenderedPageBreak/>
        <w:t>authorize</w:t>
      </w:r>
      <w:r w:rsidR="00C851D5">
        <w:t>s</w:t>
      </w:r>
      <w:r w:rsidRPr="00DE18C8">
        <w:t xml:space="preserve"> the travel agency to directly bill the College for the air fare or other transportation expenses. The agencies have been instructed to bill the College for pre-approved expenses only. </w:t>
      </w:r>
    </w:p>
    <w:p w:rsidR="00D43A4D" w:rsidRPr="00E322E2" w:rsidRDefault="00D43A4D" w:rsidP="00E322E2">
      <w:pPr>
        <w:jc w:val="center"/>
        <w:rPr>
          <w:rFonts w:ascii="Times New Roman" w:hAnsi="Times New Roman"/>
          <w:i/>
        </w:rPr>
      </w:pPr>
      <w:r w:rsidRPr="00E322E2">
        <w:rPr>
          <w:i/>
        </w:rPr>
        <w:t>If the charge is to be billed to an American Express corporate card</w:t>
      </w:r>
      <w:r w:rsidR="00F74A24">
        <w:rPr>
          <w:i/>
        </w:rPr>
        <w:t>, purchasing card, personal credit card</w:t>
      </w:r>
      <w:r w:rsidRPr="00E322E2">
        <w:rPr>
          <w:i/>
        </w:rPr>
        <w:t xml:space="preserve"> or </w:t>
      </w:r>
      <w:r w:rsidR="00E322E2" w:rsidRPr="00E322E2">
        <w:rPr>
          <w:i/>
        </w:rPr>
        <w:t xml:space="preserve">when using Egencia to book travel arrangements, </w:t>
      </w:r>
      <w:r w:rsidRPr="00E322E2">
        <w:rPr>
          <w:i/>
        </w:rPr>
        <w:t>a TA number is not necessary.</w:t>
      </w:r>
    </w:p>
    <w:p w:rsidR="007639BA" w:rsidRPr="00DE18C8" w:rsidRDefault="007639BA" w:rsidP="00EC0FD6">
      <w:pPr>
        <w:pStyle w:val="Heading3"/>
        <w:rPr>
          <w:rFonts w:ascii="Times New Roman" w:hAnsi="Times New Roman"/>
        </w:rPr>
      </w:pPr>
      <w:bookmarkStart w:id="13" w:name="_Toc17984648"/>
      <w:r w:rsidRPr="00DE18C8">
        <w:t xml:space="preserve">Tax </w:t>
      </w:r>
      <w:r w:rsidRPr="00D43A4D">
        <w:t>Exemption</w:t>
      </w:r>
      <w:bookmarkEnd w:id="13"/>
    </w:p>
    <w:p w:rsidR="00765D34" w:rsidRDefault="007639BA" w:rsidP="00765D34">
      <w:r w:rsidRPr="00DE18C8">
        <w:t>Mount Holyoke College is a 501(c)(3) tax exempt organization and is exempt from all sales tax in the state of Massachuset</w:t>
      </w:r>
      <w:r>
        <w:t xml:space="preserve">ts. </w:t>
      </w:r>
      <w:r w:rsidRPr="00DE18C8">
        <w:t>This exemption applies to retail purchases</w:t>
      </w:r>
      <w:r w:rsidR="00900696">
        <w:t xml:space="preserve"> only</w:t>
      </w:r>
      <w:r w:rsidRPr="00DE18C8">
        <w:t>.</w:t>
      </w:r>
      <w:r w:rsidR="00765D34">
        <w:t xml:space="preserve"> Because of this, reimbursements submitted for retail purchases while in the state of Massachusetts, should not include taxes as you will not be reimbursed.</w:t>
      </w:r>
    </w:p>
    <w:p w:rsidR="007639BA" w:rsidRDefault="007639BA" w:rsidP="00765D34">
      <w:r w:rsidRPr="00DE18C8">
        <w:t xml:space="preserve">For further details, including updates on additional state sales tax exemptions, and a copy of the tax exempt form, please contact the </w:t>
      </w:r>
      <w:hyperlink r:id="rId20" w:history="1">
        <w:r w:rsidRPr="00EA48E3">
          <w:rPr>
            <w:rStyle w:val="Hyperlink"/>
          </w:rPr>
          <w:t>Purchasing Department</w:t>
        </w:r>
      </w:hyperlink>
      <w:r w:rsidRPr="00DE18C8">
        <w:t xml:space="preserve"> </w:t>
      </w:r>
      <w:r w:rsidR="00EA48E3">
        <w:t>(</w:t>
      </w:r>
      <w:r w:rsidRPr="00DE18C8">
        <w:t>ext. 2041</w:t>
      </w:r>
      <w:r w:rsidR="00EA48E3">
        <w:t>)</w:t>
      </w:r>
      <w:r w:rsidRPr="00DE18C8">
        <w:t>.</w:t>
      </w:r>
      <w:r w:rsidR="00765D34">
        <w:t xml:space="preserve"> </w:t>
      </w:r>
    </w:p>
    <w:p w:rsidR="003973D4" w:rsidRPr="00DE18C8" w:rsidRDefault="003973D4" w:rsidP="00765D34">
      <w:pPr>
        <w:rPr>
          <w:rFonts w:ascii="Times New Roman" w:hAnsi="Times New Roman"/>
        </w:rPr>
      </w:pPr>
      <w:r>
        <w:t xml:space="preserve">As a specific example, book purchases via Amazon, use the above purchasing link to receive tax exemption for the purchase. Also, </w:t>
      </w:r>
      <w:r w:rsidR="00E706C9">
        <w:t>purchases at Odyssey are tax exempt. At checkout, mention that you are purchasing for Mount Holyoke College purposes.</w:t>
      </w:r>
    </w:p>
    <w:p w:rsidR="00D25ECE" w:rsidRDefault="00D25ECE" w:rsidP="00EC0FD6">
      <w:pPr>
        <w:pStyle w:val="Heading3"/>
      </w:pPr>
      <w:bookmarkStart w:id="14" w:name="_Toc17984649"/>
      <w:r w:rsidRPr="00DE18C8">
        <w:t>Paying International Visitors</w:t>
      </w:r>
      <w:bookmarkEnd w:id="14"/>
    </w:p>
    <w:p w:rsidR="00D25ECE" w:rsidRPr="00DE18C8" w:rsidRDefault="00D25ECE" w:rsidP="00D25ECE">
      <w:pPr>
        <w:rPr>
          <w:rFonts w:ascii="Times New Roman" w:hAnsi="Times New Roman"/>
        </w:rPr>
      </w:pPr>
      <w:r w:rsidRPr="00DE18C8">
        <w:t>Guidelines for paying short-term internatio</w:t>
      </w:r>
      <w:r>
        <w:t>nal visitors brought to campus</w:t>
      </w:r>
      <w:r w:rsidR="00EA48E3">
        <w:t xml:space="preserve"> are available through the link:</w:t>
      </w:r>
    </w:p>
    <w:p w:rsidR="00D25ECE" w:rsidRDefault="00000000" w:rsidP="00D25ECE">
      <w:pPr>
        <w:rPr>
          <w:color w:val="0000FF"/>
          <w:u w:val="single"/>
        </w:rPr>
      </w:pPr>
      <w:hyperlink r:id="rId21" w:history="1">
        <w:r w:rsidR="00D25ECE" w:rsidRPr="00DE18C8">
          <w:rPr>
            <w:color w:val="0000FF"/>
            <w:u w:val="single"/>
          </w:rPr>
          <w:t>https://www.mtholyoke.edu/financial/nonimmigration-guidelines</w:t>
        </w:r>
      </w:hyperlink>
    </w:p>
    <w:p w:rsidR="002072CC" w:rsidRDefault="001B1B7A" w:rsidP="00A460D5">
      <w:r>
        <w:t xml:space="preserve">When thinking </w:t>
      </w:r>
      <w:r w:rsidR="002072CC">
        <w:t xml:space="preserve">about reimbursing </w:t>
      </w:r>
      <w:r>
        <w:t>international visitors, please build in</w:t>
      </w:r>
      <w:r w:rsidR="002072CC">
        <w:t xml:space="preserve"> 6-8 weeks of time for the reimbursement cycle to ensure all departments have the appropriate time required for processing these usually complex transactions.</w:t>
      </w:r>
    </w:p>
    <w:p w:rsidR="00A510E5" w:rsidRDefault="00A510E5" w:rsidP="00A510E5">
      <w:pPr>
        <w:pStyle w:val="Heading3"/>
      </w:pPr>
      <w:bookmarkStart w:id="15" w:name="_Toc17984650"/>
      <w:r>
        <w:t>Grants</w:t>
      </w:r>
      <w:bookmarkEnd w:id="15"/>
    </w:p>
    <w:p w:rsidR="00A510E5" w:rsidRDefault="00A510E5" w:rsidP="00A510E5">
      <w:r w:rsidRPr="00DE18C8">
        <w:t>If reimbursement is requested from grant funds, additional restrictions and limitations may apply as stipulated by the grant. In such cases, refer to the ter</w:t>
      </w:r>
      <w:r>
        <w:t xml:space="preserve">ms and conditions of the grant. For details concerning allowable, allocable and reasonable costs, please visit the </w:t>
      </w:r>
      <w:hyperlink r:id="rId22" w:history="1">
        <w:r w:rsidRPr="002A01D2">
          <w:rPr>
            <w:rStyle w:val="Hyperlink"/>
          </w:rPr>
          <w:t>Research Support website</w:t>
        </w:r>
      </w:hyperlink>
      <w:r>
        <w:t>.</w:t>
      </w:r>
    </w:p>
    <w:p w:rsidR="00A510E5" w:rsidRPr="002A01D2" w:rsidRDefault="00A510E5" w:rsidP="00A510E5">
      <w:pPr>
        <w:rPr>
          <w:rFonts w:ascii="Times New Roman" w:hAnsi="Times New Roman"/>
          <w:i/>
        </w:rPr>
      </w:pPr>
      <w:r w:rsidRPr="000C1C3B">
        <w:rPr>
          <w:i/>
        </w:rPr>
        <w:t>Federal regulations prohibit reimbursement for the purchase of alcoholic beverages with federal funds.</w:t>
      </w:r>
    </w:p>
    <w:p w:rsidR="002A2A9A" w:rsidRDefault="002A2A9A" w:rsidP="00EC0FD6">
      <w:pPr>
        <w:pStyle w:val="Heading3"/>
      </w:pPr>
      <w:bookmarkStart w:id="16" w:name="_Toc17984651"/>
      <w:r w:rsidRPr="002C3307">
        <w:t>Insurance</w:t>
      </w:r>
      <w:bookmarkEnd w:id="16"/>
    </w:p>
    <w:p w:rsidR="001A1131" w:rsidRPr="00DE18C8" w:rsidRDefault="001A1131" w:rsidP="001A1131">
      <w:r w:rsidRPr="00DE18C8">
        <w:t>Please be mindful that travel insurance has many forms of coverage and limitations. Trip cancellation insurance coverage has limitations and the actual coverage is defined in the Letter of Confirmation and Certificate of Insurance/Policy. It may not cover what you would expect.</w:t>
      </w:r>
      <w:r>
        <w:t xml:space="preserve"> For travel insurance when traveling abroad, pl</w:t>
      </w:r>
      <w:r w:rsidRPr="00DE18C8">
        <w:t xml:space="preserve">ease review the </w:t>
      </w:r>
      <w:hyperlink r:id="rId23" w:history="1">
        <w:r w:rsidRPr="009E0EE0">
          <w:rPr>
            <w:rStyle w:val="Hyperlink"/>
          </w:rPr>
          <w:t>Compliance and Risk Management website</w:t>
        </w:r>
      </w:hyperlink>
      <w:r w:rsidRPr="00DE18C8">
        <w:t xml:space="preserve"> regarding the travel insurance</w:t>
      </w:r>
      <w:r>
        <w:t xml:space="preserve">. As a reminder, trip cancellation insurance is a non-reimbursable expense. </w:t>
      </w:r>
    </w:p>
    <w:p w:rsidR="002A2A9A" w:rsidRDefault="002A2A9A" w:rsidP="002A2A9A">
      <w:r w:rsidRPr="00DE18C8">
        <w:t xml:space="preserve">The College maintains comprehensive, collision and liability insurance on all vehicles rented or leased for official business. The loss damage coverage (LDW) and/or personal accident (PAI) or additional liability insurance (ALI) should be </w:t>
      </w:r>
      <w:r w:rsidRPr="001A1131">
        <w:rPr>
          <w:i/>
        </w:rPr>
        <w:t>declined</w:t>
      </w:r>
      <w:r w:rsidRPr="00DE18C8">
        <w:t xml:space="preserve"> when renting a vehicle in the United States or Canada. </w:t>
      </w:r>
    </w:p>
    <w:p w:rsidR="002A2A9A" w:rsidRDefault="002A2A9A" w:rsidP="002A2A9A">
      <w:r>
        <w:t>When traveling abroad,</w:t>
      </w:r>
      <w:r w:rsidR="001A1131">
        <w:t xml:space="preserve"> except Canada, f</w:t>
      </w:r>
      <w:r w:rsidRPr="00DE18C8">
        <w:t>aculty and staff should purchase insurance from the rental car company directly in the maximum amounts offered for bot</w:t>
      </w:r>
      <w:r>
        <w:t>h liability and physical damage.</w:t>
      </w:r>
      <w:r w:rsidRPr="00DE18C8">
        <w:t xml:space="preserve"> It is preferable to enter "Mount Holyoke College" as well as the traveler's signature on the rental agreement. </w:t>
      </w:r>
    </w:p>
    <w:p w:rsidR="002A2A9A" w:rsidRDefault="002A2A9A" w:rsidP="00EC0FD6">
      <w:pPr>
        <w:pStyle w:val="Heading3"/>
      </w:pPr>
      <w:bookmarkStart w:id="17" w:name="_Toc17984652"/>
      <w:r>
        <w:t>Accident</w:t>
      </w:r>
      <w:bookmarkEnd w:id="17"/>
    </w:p>
    <w:p w:rsidR="002A2A9A" w:rsidRDefault="002A2A9A" w:rsidP="002A2A9A">
      <w:r w:rsidRPr="00DE18C8">
        <w:t xml:space="preserve">Should an employee be involved in an accident while traveling on College business refer to the </w:t>
      </w:r>
      <w:hyperlink r:id="rId24" w:history="1">
        <w:r w:rsidRPr="00393C16">
          <w:rPr>
            <w:rStyle w:val="Hyperlink"/>
          </w:rPr>
          <w:t xml:space="preserve">Five College Compliance and Risk Management </w:t>
        </w:r>
        <w:r>
          <w:rPr>
            <w:rStyle w:val="Hyperlink"/>
          </w:rPr>
          <w:t>website</w:t>
        </w:r>
      </w:hyperlink>
      <w:r>
        <w:t xml:space="preserve"> </w:t>
      </w:r>
      <w:r w:rsidRPr="00DE18C8">
        <w:t>for information on what to do at the scene and afterwards</w:t>
      </w:r>
      <w:r>
        <w:t>.</w:t>
      </w:r>
      <w:r w:rsidRPr="00DE18C8">
        <w:t xml:space="preserve"> If a rented vehicle is involved in an accident, the employee must notify the </w:t>
      </w:r>
      <w:hyperlink r:id="rId25" w:history="1">
        <w:r w:rsidRPr="00393C16">
          <w:rPr>
            <w:rStyle w:val="Hyperlink"/>
          </w:rPr>
          <w:t>Five College Compliance and Risk Management Office</w:t>
        </w:r>
      </w:hyperlink>
      <w:r>
        <w:t xml:space="preserve"> within 24 hours </w:t>
      </w:r>
      <w:r w:rsidRPr="00DE18C8">
        <w:t>in addition to no</w:t>
      </w:r>
      <w:r>
        <w:t>tifying the car rental agency.</w:t>
      </w:r>
    </w:p>
    <w:p w:rsidR="002A2A9A" w:rsidRPr="00DE18C8" w:rsidRDefault="002A2A9A" w:rsidP="002A2A9A">
      <w:pPr>
        <w:rPr>
          <w:rFonts w:ascii="Times New Roman" w:eastAsia="Times New Roman" w:hAnsi="Times New Roman"/>
        </w:rPr>
      </w:pPr>
      <w:r w:rsidRPr="00DE18C8">
        <w:lastRenderedPageBreak/>
        <w:t xml:space="preserve">In addition information regarding deductibles is covered by the </w:t>
      </w:r>
      <w:hyperlink r:id="rId26" w:history="1">
        <w:r w:rsidRPr="00393C16">
          <w:rPr>
            <w:rStyle w:val="Hyperlink"/>
          </w:rPr>
          <w:t>staff handbook</w:t>
        </w:r>
      </w:hyperlink>
      <w:r>
        <w:t>.</w:t>
      </w:r>
    </w:p>
    <w:p w:rsidR="00725761" w:rsidRPr="00DE18C8" w:rsidRDefault="00725761" w:rsidP="00725761">
      <w:pPr>
        <w:pStyle w:val="Heading2"/>
        <w:rPr>
          <w:rFonts w:ascii="Times New Roman" w:eastAsia="Times New Roman" w:hAnsi="Times New Roman"/>
        </w:rPr>
      </w:pPr>
      <w:bookmarkStart w:id="18" w:name="_Toc17984653"/>
      <w:r w:rsidRPr="00DE18C8">
        <w:rPr>
          <w:rFonts w:eastAsia="Times New Roman"/>
        </w:rPr>
        <w:t>Non-Reimbursable Expenses</w:t>
      </w:r>
      <w:bookmarkEnd w:id="18"/>
    </w:p>
    <w:p w:rsidR="00725761" w:rsidRPr="00DE18C8" w:rsidRDefault="00725761" w:rsidP="00725761">
      <w:pPr>
        <w:rPr>
          <w:rFonts w:ascii="Times New Roman" w:hAnsi="Times New Roman"/>
        </w:rPr>
      </w:pPr>
      <w:r w:rsidRPr="00DE18C8">
        <w:t>The following are examples of non-reimbursable expenses and should be considered a partial listing</w:t>
      </w:r>
      <w:r>
        <w:t>. The Comptroller reserves the right to review expenses for applicability.</w:t>
      </w:r>
    </w:p>
    <w:p w:rsidR="00725761" w:rsidRPr="00EA48E3" w:rsidRDefault="00725761" w:rsidP="00725761">
      <w:pPr>
        <w:jc w:val="center"/>
        <w:rPr>
          <w:rFonts w:ascii="Times New Roman" w:hAnsi="Times New Roman"/>
          <w:i/>
        </w:rPr>
      </w:pPr>
      <w:r w:rsidRPr="00EA48E3">
        <w:rPr>
          <w:i/>
        </w:rPr>
        <w:t>The College does not provide reimbursement for personal expenses incurred while on official College business.</w:t>
      </w:r>
    </w:p>
    <w:p w:rsidR="00725761" w:rsidRPr="00881D1D" w:rsidRDefault="00000000" w:rsidP="00725761">
      <w:pPr>
        <w:pStyle w:val="ListParagraph"/>
        <w:numPr>
          <w:ilvl w:val="0"/>
          <w:numId w:val="23"/>
        </w:numPr>
        <w:rPr>
          <w:rFonts w:ascii="Arial" w:hAnsi="Arial" w:cs="Arial"/>
          <w:sz w:val="20"/>
          <w:szCs w:val="20"/>
        </w:rPr>
      </w:pPr>
      <w:hyperlink r:id="rId27" w:history="1">
        <w:r w:rsidR="00725761" w:rsidRPr="00881D1D">
          <w:rPr>
            <w:rStyle w:val="Hyperlink"/>
            <w:rFonts w:cs="Arial"/>
          </w:rPr>
          <w:t>Cell phones</w:t>
        </w:r>
      </w:hyperlink>
    </w:p>
    <w:p w:rsidR="00725761" w:rsidRPr="006A2BFA" w:rsidRDefault="00725761" w:rsidP="00725761">
      <w:pPr>
        <w:pStyle w:val="ListParagraph"/>
        <w:numPr>
          <w:ilvl w:val="0"/>
          <w:numId w:val="23"/>
        </w:numPr>
      </w:pPr>
      <w:r w:rsidRPr="006A2BFA">
        <w:t>Costs incurred by failure to cancel reservations</w:t>
      </w:r>
    </w:p>
    <w:p w:rsidR="00725761" w:rsidRPr="006A2BFA" w:rsidRDefault="00725761" w:rsidP="00725761">
      <w:pPr>
        <w:pStyle w:val="ListParagraph"/>
        <w:numPr>
          <w:ilvl w:val="0"/>
          <w:numId w:val="23"/>
        </w:numPr>
      </w:pPr>
      <w:r w:rsidRPr="006A2BFA">
        <w:t>Unclaimed refunds</w:t>
      </w:r>
    </w:p>
    <w:p w:rsidR="00725761" w:rsidRPr="006A2BFA" w:rsidRDefault="00725761" w:rsidP="00725761">
      <w:pPr>
        <w:pStyle w:val="ListParagraph"/>
        <w:numPr>
          <w:ilvl w:val="0"/>
          <w:numId w:val="23"/>
        </w:numPr>
      </w:pPr>
      <w:r w:rsidRPr="006A2BFA">
        <w:t>Fines</w:t>
      </w:r>
    </w:p>
    <w:p w:rsidR="00725761" w:rsidRPr="006A2BFA" w:rsidRDefault="00725761" w:rsidP="00725761">
      <w:pPr>
        <w:pStyle w:val="ListParagraph"/>
        <w:numPr>
          <w:ilvl w:val="0"/>
          <w:numId w:val="23"/>
        </w:numPr>
      </w:pPr>
      <w:r w:rsidRPr="006A2BFA">
        <w:t>Late Fees</w:t>
      </w:r>
    </w:p>
    <w:p w:rsidR="00725761" w:rsidRPr="006A2BFA" w:rsidRDefault="00725761" w:rsidP="00725761">
      <w:pPr>
        <w:pStyle w:val="ListParagraph"/>
        <w:numPr>
          <w:ilvl w:val="0"/>
          <w:numId w:val="23"/>
        </w:numPr>
      </w:pPr>
      <w:r w:rsidRPr="006A2BFA">
        <w:t>Lost or stolen tickets, cash or property</w:t>
      </w:r>
    </w:p>
    <w:p w:rsidR="00725761" w:rsidRPr="006A2BFA" w:rsidRDefault="00725761" w:rsidP="00725761">
      <w:pPr>
        <w:pStyle w:val="ListParagraph"/>
        <w:numPr>
          <w:ilvl w:val="0"/>
          <w:numId w:val="23"/>
        </w:numPr>
      </w:pPr>
      <w:r w:rsidRPr="006A2BFA">
        <w:t>Air travel insurance premiums</w:t>
      </w:r>
    </w:p>
    <w:p w:rsidR="00725761" w:rsidRPr="006A2BFA" w:rsidRDefault="00725761" w:rsidP="00725761">
      <w:pPr>
        <w:pStyle w:val="ListParagraph"/>
        <w:numPr>
          <w:ilvl w:val="0"/>
          <w:numId w:val="23"/>
        </w:numPr>
      </w:pPr>
      <w:r w:rsidRPr="006A2BFA">
        <w:t>Collision damage waivers</w:t>
      </w:r>
    </w:p>
    <w:p w:rsidR="00725761" w:rsidRPr="006A2BFA" w:rsidRDefault="00725761" w:rsidP="00725761">
      <w:pPr>
        <w:pStyle w:val="ListParagraph"/>
        <w:numPr>
          <w:ilvl w:val="0"/>
          <w:numId w:val="23"/>
        </w:numPr>
      </w:pPr>
      <w:r w:rsidRPr="006A2BFA">
        <w:t>Personal accident insurance premiums</w:t>
      </w:r>
    </w:p>
    <w:p w:rsidR="00725761" w:rsidRPr="006A2BFA" w:rsidRDefault="00725761" w:rsidP="00725761">
      <w:pPr>
        <w:pStyle w:val="ListParagraph"/>
        <w:numPr>
          <w:ilvl w:val="0"/>
          <w:numId w:val="23"/>
        </w:numPr>
      </w:pPr>
      <w:r w:rsidRPr="006A2BFA">
        <w:t>Commuting between an individual's home and place of work</w:t>
      </w:r>
    </w:p>
    <w:p w:rsidR="00725761" w:rsidRPr="006A2BFA" w:rsidRDefault="00725761" w:rsidP="00725761">
      <w:pPr>
        <w:pStyle w:val="ListParagraph"/>
        <w:numPr>
          <w:ilvl w:val="0"/>
          <w:numId w:val="23"/>
        </w:numPr>
      </w:pPr>
      <w:r w:rsidRPr="006A2BFA">
        <w:t>Repairs for personal car</w:t>
      </w:r>
    </w:p>
    <w:p w:rsidR="00725761" w:rsidRPr="006A2BFA" w:rsidRDefault="00725761" w:rsidP="00725761">
      <w:pPr>
        <w:pStyle w:val="ListParagraph"/>
        <w:numPr>
          <w:ilvl w:val="0"/>
          <w:numId w:val="23"/>
        </w:numPr>
      </w:pPr>
      <w:r w:rsidRPr="006A2BFA">
        <w:t>Parking or traffic violation fines</w:t>
      </w:r>
    </w:p>
    <w:p w:rsidR="00725761" w:rsidRPr="006A2BFA" w:rsidRDefault="00725761" w:rsidP="00725761">
      <w:pPr>
        <w:pStyle w:val="ListParagraph"/>
        <w:numPr>
          <w:ilvl w:val="0"/>
          <w:numId w:val="23"/>
        </w:numPr>
      </w:pPr>
      <w:r w:rsidRPr="006A2BFA">
        <w:t>Expenses not related to or necessary for offi</w:t>
      </w:r>
      <w:r w:rsidR="0071052B">
        <w:t xml:space="preserve">cial travel </w:t>
      </w:r>
    </w:p>
    <w:p w:rsidR="00725761" w:rsidRDefault="00725761" w:rsidP="00143B63">
      <w:pPr>
        <w:pStyle w:val="ListParagraph"/>
        <w:numPr>
          <w:ilvl w:val="0"/>
          <w:numId w:val="23"/>
        </w:numPr>
      </w:pPr>
      <w:r w:rsidRPr="006A2BFA">
        <w:t>Personal or family travel expenses</w:t>
      </w:r>
      <w:r w:rsidR="00656A31">
        <w:t xml:space="preserve"> that increase the cost of a travel event for the College, i.e. upgrading lodging, rental cars, flights, incidentals such as </w:t>
      </w:r>
      <w:r w:rsidRPr="006A2BFA">
        <w:t>newspapers, shoeshines, haircuts, babysitting, toiletries, pharmaceuticals, etc.</w:t>
      </w:r>
    </w:p>
    <w:p w:rsidR="00725761" w:rsidRPr="006A2BFA" w:rsidRDefault="00725761" w:rsidP="00725761">
      <w:pPr>
        <w:pStyle w:val="ListParagraph"/>
        <w:numPr>
          <w:ilvl w:val="0"/>
          <w:numId w:val="23"/>
        </w:numPr>
      </w:pPr>
      <w:r>
        <w:t>Expenses that may cause an increase in costs such as checked luggage fees, car rentals, etc. when family members travel with the College employee</w:t>
      </w:r>
    </w:p>
    <w:p w:rsidR="00725761" w:rsidRPr="006A2BFA" w:rsidRDefault="00725761" w:rsidP="00725761">
      <w:pPr>
        <w:pStyle w:val="ListParagraph"/>
        <w:numPr>
          <w:ilvl w:val="0"/>
          <w:numId w:val="23"/>
        </w:numPr>
      </w:pPr>
      <w:r w:rsidRPr="006A2BFA">
        <w:t>Personal entertainment expenses (e.g., in-room movie charges)</w:t>
      </w:r>
    </w:p>
    <w:p w:rsidR="00725761" w:rsidRPr="006A2BFA" w:rsidRDefault="00725761" w:rsidP="00725761">
      <w:pPr>
        <w:pStyle w:val="ListParagraph"/>
        <w:numPr>
          <w:ilvl w:val="0"/>
          <w:numId w:val="23"/>
        </w:numPr>
      </w:pPr>
      <w:r w:rsidRPr="006A2BFA">
        <w:t>Bank charges for accessing personal funds</w:t>
      </w:r>
    </w:p>
    <w:p w:rsidR="00725761" w:rsidRPr="006A2BFA" w:rsidRDefault="00725761" w:rsidP="00725761">
      <w:pPr>
        <w:pStyle w:val="ListParagraph"/>
        <w:numPr>
          <w:ilvl w:val="0"/>
          <w:numId w:val="23"/>
        </w:numPr>
      </w:pPr>
      <w:r w:rsidRPr="006A2BFA">
        <w:t>Corporate charge card delinquency assessments</w:t>
      </w:r>
    </w:p>
    <w:p w:rsidR="00725761" w:rsidRPr="006A2BFA" w:rsidRDefault="00725761" w:rsidP="00725761">
      <w:pPr>
        <w:pStyle w:val="ListParagraph"/>
        <w:numPr>
          <w:ilvl w:val="0"/>
          <w:numId w:val="23"/>
        </w:numPr>
      </w:pPr>
      <w:r w:rsidRPr="006A2BFA">
        <w:t>Airline club membership fees</w:t>
      </w:r>
    </w:p>
    <w:p w:rsidR="00725761" w:rsidRPr="006A2BFA" w:rsidRDefault="00725761" w:rsidP="00725761">
      <w:pPr>
        <w:pStyle w:val="ListParagraph"/>
        <w:numPr>
          <w:ilvl w:val="0"/>
          <w:numId w:val="23"/>
        </w:numPr>
      </w:pPr>
      <w:r w:rsidRPr="006A2BFA">
        <w:t>Laundry or valet service for travel of fewer than five days</w:t>
      </w:r>
    </w:p>
    <w:p w:rsidR="00725761" w:rsidRPr="006A2BFA" w:rsidRDefault="00725761" w:rsidP="00725761">
      <w:pPr>
        <w:pStyle w:val="ListParagraph"/>
        <w:numPr>
          <w:ilvl w:val="0"/>
          <w:numId w:val="23"/>
        </w:numPr>
      </w:pPr>
      <w:r w:rsidRPr="006A2BFA">
        <w:t>Dues or initiation fees for health or social clubs</w:t>
      </w:r>
    </w:p>
    <w:p w:rsidR="00725761" w:rsidRPr="006A2BFA" w:rsidRDefault="00725761" w:rsidP="00725761">
      <w:pPr>
        <w:pStyle w:val="ListParagraph"/>
        <w:numPr>
          <w:ilvl w:val="0"/>
          <w:numId w:val="23"/>
        </w:numPr>
      </w:pPr>
      <w:r w:rsidRPr="006A2BFA">
        <w:t>Gym and recreational fees, including massages, saunas and tanning services</w:t>
      </w:r>
    </w:p>
    <w:p w:rsidR="00725761" w:rsidRPr="006A2BFA" w:rsidRDefault="00725761" w:rsidP="00725761">
      <w:pPr>
        <w:pStyle w:val="ListParagraph"/>
        <w:numPr>
          <w:ilvl w:val="0"/>
          <w:numId w:val="23"/>
        </w:numPr>
      </w:pPr>
      <w:r w:rsidRPr="006A2BFA">
        <w:t>Business use of personal residence</w:t>
      </w:r>
    </w:p>
    <w:p w:rsidR="00725761" w:rsidRDefault="004F08B8" w:rsidP="00725761">
      <w:pPr>
        <w:pStyle w:val="ListParagraph"/>
        <w:numPr>
          <w:ilvl w:val="0"/>
          <w:numId w:val="23"/>
        </w:numPr>
      </w:pPr>
      <w:r>
        <w:t>Personal services (housekeeper, driver</w:t>
      </w:r>
      <w:r w:rsidR="00725761" w:rsidRPr="006A2BFA">
        <w:t>, chef, etc.)</w:t>
      </w:r>
    </w:p>
    <w:p w:rsidR="00725761" w:rsidRPr="002A305B" w:rsidRDefault="00000000" w:rsidP="00725761">
      <w:pPr>
        <w:pStyle w:val="ListParagraph"/>
        <w:numPr>
          <w:ilvl w:val="0"/>
          <w:numId w:val="23"/>
        </w:numPr>
      </w:pPr>
      <w:hyperlink r:id="rId28" w:history="1">
        <w:r w:rsidR="00725761" w:rsidRPr="002A305B">
          <w:rPr>
            <w:rStyle w:val="Hyperlink"/>
          </w:rPr>
          <w:t>Regalia</w:t>
        </w:r>
      </w:hyperlink>
    </w:p>
    <w:p w:rsidR="00DE18C8" w:rsidRPr="00DE18C8" w:rsidRDefault="00DE18C8" w:rsidP="00770E9C">
      <w:pPr>
        <w:pStyle w:val="Heading2"/>
        <w:rPr>
          <w:rFonts w:ascii="Times New Roman" w:eastAsia="Times New Roman" w:hAnsi="Times New Roman"/>
        </w:rPr>
      </w:pPr>
      <w:bookmarkStart w:id="19" w:name="_Toc17984654"/>
      <w:r w:rsidRPr="00DE18C8">
        <w:rPr>
          <w:rFonts w:eastAsia="Times New Roman"/>
        </w:rPr>
        <w:t>Reimbursable Expenses</w:t>
      </w:r>
      <w:bookmarkEnd w:id="19"/>
    </w:p>
    <w:p w:rsidR="003631F6" w:rsidRDefault="00DE18C8" w:rsidP="006722EC">
      <w:r w:rsidRPr="00DE18C8">
        <w:t xml:space="preserve">The College will pay for business travel and entertainment expenses that are reasonable and have been incurred for </w:t>
      </w:r>
      <w:r w:rsidR="000C1C3B">
        <w:t>the following categories, explained further in the sections that follow:</w:t>
      </w:r>
    </w:p>
    <w:p w:rsidR="003631F6" w:rsidRDefault="00000000" w:rsidP="003631F6">
      <w:pPr>
        <w:pStyle w:val="ListParagraph"/>
        <w:numPr>
          <w:ilvl w:val="0"/>
          <w:numId w:val="18"/>
        </w:numPr>
      </w:pPr>
      <w:hyperlink w:anchor="_Conferences" w:history="1">
        <w:r w:rsidR="003631F6" w:rsidRPr="00EA48E3">
          <w:rPr>
            <w:rStyle w:val="Hyperlink"/>
          </w:rPr>
          <w:t>C</w:t>
        </w:r>
        <w:r w:rsidR="00007A6D">
          <w:rPr>
            <w:rStyle w:val="Hyperlink"/>
          </w:rPr>
          <w:t>onference Fee</w:t>
        </w:r>
        <w:r w:rsidR="00DE18C8" w:rsidRPr="00EA48E3">
          <w:rPr>
            <w:rStyle w:val="Hyperlink"/>
          </w:rPr>
          <w:t>s</w:t>
        </w:r>
      </w:hyperlink>
    </w:p>
    <w:p w:rsidR="003631F6" w:rsidRDefault="00000000" w:rsidP="003631F6">
      <w:pPr>
        <w:pStyle w:val="ListParagraph"/>
        <w:numPr>
          <w:ilvl w:val="0"/>
          <w:numId w:val="18"/>
        </w:numPr>
      </w:pPr>
      <w:hyperlink w:anchor="_Travel" w:history="1">
        <w:r w:rsidR="00EA48E3" w:rsidRPr="00EA48E3">
          <w:rPr>
            <w:rStyle w:val="Hyperlink"/>
          </w:rPr>
          <w:t>Travel / Transportation</w:t>
        </w:r>
      </w:hyperlink>
    </w:p>
    <w:p w:rsidR="00EA48E3" w:rsidRDefault="00000000" w:rsidP="00EA48E3">
      <w:pPr>
        <w:pStyle w:val="ListParagraph"/>
        <w:numPr>
          <w:ilvl w:val="0"/>
          <w:numId w:val="18"/>
        </w:numPr>
      </w:pPr>
      <w:hyperlink w:anchor="_Lodging" w:history="1">
        <w:r w:rsidR="00EA48E3" w:rsidRPr="00EA48E3">
          <w:rPr>
            <w:rStyle w:val="Hyperlink"/>
          </w:rPr>
          <w:t>Lodging</w:t>
        </w:r>
      </w:hyperlink>
    </w:p>
    <w:p w:rsidR="003631F6" w:rsidRDefault="00000000" w:rsidP="003631F6">
      <w:pPr>
        <w:pStyle w:val="ListParagraph"/>
        <w:numPr>
          <w:ilvl w:val="0"/>
          <w:numId w:val="18"/>
        </w:numPr>
      </w:pPr>
      <w:hyperlink w:anchor="_Meals,_Alcohol_&amp;" w:history="1">
        <w:r w:rsidR="003631F6" w:rsidRPr="00EA48E3">
          <w:rPr>
            <w:rStyle w:val="Hyperlink"/>
          </w:rPr>
          <w:t>M</w:t>
        </w:r>
        <w:r w:rsidR="00DE18C8" w:rsidRPr="00EA48E3">
          <w:rPr>
            <w:rStyle w:val="Hyperlink"/>
          </w:rPr>
          <w:t>eals</w:t>
        </w:r>
      </w:hyperlink>
    </w:p>
    <w:p w:rsidR="00927382" w:rsidRDefault="00000000" w:rsidP="003631F6">
      <w:pPr>
        <w:pStyle w:val="ListParagraph"/>
        <w:numPr>
          <w:ilvl w:val="0"/>
          <w:numId w:val="18"/>
        </w:numPr>
      </w:pPr>
      <w:hyperlink w:anchor="_Business_Entertainment" w:history="1">
        <w:r w:rsidR="00927382" w:rsidRPr="00EA48E3">
          <w:rPr>
            <w:rStyle w:val="Hyperlink"/>
          </w:rPr>
          <w:t>Business Entertainment</w:t>
        </w:r>
      </w:hyperlink>
      <w:r w:rsidR="00927382">
        <w:t xml:space="preserve"> – this is a broad category title, please refer to th</w:t>
      </w:r>
      <w:r w:rsidR="00F200EF">
        <w:t>e section</w:t>
      </w:r>
      <w:r w:rsidR="00927382">
        <w:t xml:space="preserve"> for details</w:t>
      </w:r>
    </w:p>
    <w:p w:rsidR="003631F6" w:rsidRDefault="00EA48E3" w:rsidP="003631F6">
      <w:pPr>
        <w:pStyle w:val="ListParagraph"/>
        <w:numPr>
          <w:ilvl w:val="0"/>
          <w:numId w:val="18"/>
        </w:numPr>
      </w:pPr>
      <w:r>
        <w:t>Other Reimbursable Expenses</w:t>
      </w:r>
    </w:p>
    <w:p w:rsidR="00EA48E3" w:rsidRPr="000C1C3B" w:rsidRDefault="00EA48E3" w:rsidP="00EA48E3">
      <w:pPr>
        <w:pStyle w:val="ListParagraph"/>
        <w:numPr>
          <w:ilvl w:val="1"/>
          <w:numId w:val="18"/>
        </w:numPr>
        <w:rPr>
          <w:rFonts w:ascii="Arial" w:hAnsi="Arial"/>
          <w:sz w:val="20"/>
          <w:szCs w:val="20"/>
        </w:rPr>
      </w:pPr>
      <w:r>
        <w:t>Valet parking at hotels</w:t>
      </w:r>
    </w:p>
    <w:p w:rsidR="00EA48E3" w:rsidRPr="000C1C3B" w:rsidRDefault="00EA48E3" w:rsidP="00EA48E3">
      <w:pPr>
        <w:pStyle w:val="ListParagraph"/>
        <w:numPr>
          <w:ilvl w:val="1"/>
          <w:numId w:val="18"/>
        </w:numPr>
        <w:rPr>
          <w:rFonts w:ascii="Arial" w:hAnsi="Arial"/>
          <w:sz w:val="20"/>
          <w:szCs w:val="20"/>
        </w:rPr>
      </w:pPr>
      <w:r w:rsidRPr="00DE18C8">
        <w:t xml:space="preserve">Expenses for laundry, dry cleaning, and valet service </w:t>
      </w:r>
      <w:r>
        <w:t>for College trips over 5 days</w:t>
      </w:r>
    </w:p>
    <w:p w:rsidR="00B83025" w:rsidRDefault="007E7938" w:rsidP="007E7938">
      <w:pPr>
        <w:spacing w:after="0"/>
        <w:jc w:val="center"/>
        <w:rPr>
          <w:i/>
        </w:rPr>
      </w:pPr>
      <w:r>
        <w:rPr>
          <w:i/>
        </w:rPr>
        <w:lastRenderedPageBreak/>
        <w:t>Itemized r</w:t>
      </w:r>
      <w:r w:rsidR="00EA48E3" w:rsidRPr="00EA48E3">
        <w:rPr>
          <w:i/>
        </w:rPr>
        <w:t>eceipts and business purpose explanations must be provided for any and all expenses submitted</w:t>
      </w:r>
      <w:r w:rsidR="00B83025">
        <w:rPr>
          <w:i/>
        </w:rPr>
        <w:t xml:space="preserve"> over $25.00</w:t>
      </w:r>
    </w:p>
    <w:p w:rsidR="00EA48E3" w:rsidRPr="00EA48E3" w:rsidRDefault="00EA48E3" w:rsidP="007E7938">
      <w:pPr>
        <w:spacing w:after="0"/>
        <w:jc w:val="center"/>
        <w:rPr>
          <w:i/>
        </w:rPr>
      </w:pPr>
      <w:r w:rsidRPr="00EA48E3">
        <w:rPr>
          <w:i/>
        </w:rPr>
        <w:t>.</w:t>
      </w:r>
    </w:p>
    <w:p w:rsidR="00EA48E3" w:rsidRPr="00EA48E3" w:rsidRDefault="00EA48E3" w:rsidP="00EA48E3">
      <w:pPr>
        <w:rPr>
          <w:rFonts w:ascii="Times New Roman" w:hAnsi="Times New Roman"/>
        </w:rPr>
      </w:pPr>
      <w:r w:rsidRPr="00DE18C8">
        <w:t>If, for other than College business, a traveler takes an indirect route or interrupts travel by a direct route, reimbursement for transportation costs will be the lesser of the actual charge or the charge that would have been incurred by traveling the direct route.</w:t>
      </w:r>
    </w:p>
    <w:p w:rsidR="00EA48E3" w:rsidRDefault="003631F6" w:rsidP="006722EC">
      <w:r>
        <w:t>All</w:t>
      </w:r>
      <w:r w:rsidR="00DE18C8" w:rsidRPr="00DE18C8">
        <w:t xml:space="preserve"> expenses should be properly authorized, appropriately documented and include an explanation of the business purpose of the expense. </w:t>
      </w:r>
      <w:r w:rsidR="005A6761">
        <w:t>For specifics, refer to the sections that follow.</w:t>
      </w:r>
    </w:p>
    <w:p w:rsidR="006B5222" w:rsidRPr="00DE18C8" w:rsidRDefault="006B5222" w:rsidP="00770E9C">
      <w:pPr>
        <w:pStyle w:val="Heading2"/>
        <w:rPr>
          <w:rFonts w:ascii="Times New Roman" w:hAnsi="Times New Roman"/>
        </w:rPr>
      </w:pPr>
      <w:bookmarkStart w:id="20" w:name="_Conferences"/>
      <w:bookmarkStart w:id="21" w:name="_Toc17984655"/>
      <w:bookmarkEnd w:id="20"/>
      <w:r w:rsidRPr="00DE18C8">
        <w:t>Conference</w:t>
      </w:r>
      <w:r w:rsidR="00007A6D">
        <w:t xml:space="preserve"> Fee</w:t>
      </w:r>
      <w:r>
        <w:t>s</w:t>
      </w:r>
      <w:bookmarkEnd w:id="21"/>
    </w:p>
    <w:p w:rsidR="005D2D66" w:rsidRDefault="005D2D66" w:rsidP="00725761">
      <w:r>
        <w:t xml:space="preserve">Paying for a conference can be done in several ways. You could pay for your conference in advance through a </w:t>
      </w:r>
      <w:hyperlink r:id="rId29" w:history="1">
        <w:r w:rsidRPr="005A6761">
          <w:rPr>
            <w:rStyle w:val="Hyperlink"/>
          </w:rPr>
          <w:t>Check Request</w:t>
        </w:r>
      </w:hyperlink>
      <w:r>
        <w:t xml:space="preserve"> Form, use the Purchasing (“P”) Card, or </w:t>
      </w:r>
      <w:r w:rsidR="004630C4">
        <w:t>a</w:t>
      </w:r>
      <w:r>
        <w:t xml:space="preserve"> personal credit card.</w:t>
      </w:r>
    </w:p>
    <w:p w:rsidR="006B5222" w:rsidRDefault="004630C4" w:rsidP="004630C4">
      <w:r>
        <w:t>Should you choose to pay for the conference in advance, th</w:t>
      </w:r>
      <w:r w:rsidR="00725761">
        <w:t>e indivi</w:t>
      </w:r>
      <w:r w:rsidR="00725761" w:rsidRPr="00DE18C8">
        <w:t>dual is responsible for obtaining a refund in the event of a cancellation</w:t>
      </w:r>
      <w:r w:rsidR="00725761">
        <w:t>, reimbursing the College accordingly</w:t>
      </w:r>
      <w:r w:rsidR="00725761" w:rsidRPr="00DE18C8">
        <w:t>.</w:t>
      </w:r>
      <w:r w:rsidR="00725761">
        <w:t xml:space="preserve"> </w:t>
      </w:r>
    </w:p>
    <w:p w:rsidR="006B5222" w:rsidRDefault="006B5222" w:rsidP="006B5222">
      <w:pPr>
        <w:pStyle w:val="Heading6"/>
        <w:pBdr>
          <w:top w:val="single" w:sz="4" w:space="1" w:color="auto"/>
          <w:bottom w:val="single" w:sz="4" w:space="1" w:color="auto"/>
        </w:pBdr>
      </w:pPr>
      <w:r>
        <w:t>Documentation</w:t>
      </w:r>
      <w:r w:rsidR="002C0CF7">
        <w:t xml:space="preserve"> </w:t>
      </w:r>
      <w:r w:rsidR="002A305B">
        <w:t>–</w:t>
      </w:r>
      <w:r w:rsidR="002C0CF7">
        <w:t xml:space="preserve"> Conference</w:t>
      </w:r>
      <w:r w:rsidR="002A305B">
        <w:t xml:space="preserve"> Fee</w:t>
      </w:r>
      <w:r w:rsidR="002C0CF7">
        <w:t>s</w:t>
      </w:r>
    </w:p>
    <w:p w:rsidR="0019236F" w:rsidRDefault="006B5222" w:rsidP="006B5222">
      <w:r w:rsidRPr="00DE18C8">
        <w:t>Original receipts or proof of payment must accompany a requisition for reimbursemen</w:t>
      </w:r>
      <w:r w:rsidR="002C0CF7">
        <w:t>t for a conference registration, when resolving a Check Request or Travel Advance.</w:t>
      </w:r>
      <w:r w:rsidR="00AD75E6">
        <w:t xml:space="preserve"> In addition, documents that detail the conference are </w:t>
      </w:r>
      <w:r w:rsidR="005F038D">
        <w:t>required</w:t>
      </w:r>
      <w:r w:rsidR="00AD75E6">
        <w:t>.</w:t>
      </w:r>
    </w:p>
    <w:p w:rsidR="006C3BC4" w:rsidRDefault="00927382" w:rsidP="00770E9C">
      <w:pPr>
        <w:pStyle w:val="Heading2"/>
      </w:pPr>
      <w:bookmarkStart w:id="22" w:name="_Travel"/>
      <w:bookmarkStart w:id="23" w:name="_Toc17984656"/>
      <w:bookmarkEnd w:id="22"/>
      <w:r>
        <w:t>Travel</w:t>
      </w:r>
      <w:r w:rsidR="002C0CF7">
        <w:t xml:space="preserve"> /Transportation</w:t>
      </w:r>
      <w:bookmarkEnd w:id="23"/>
    </w:p>
    <w:p w:rsidR="00D14F2E" w:rsidRDefault="00D14F2E" w:rsidP="00D14F2E">
      <w:r>
        <w:t xml:space="preserve">There are various forms </w:t>
      </w:r>
      <w:r w:rsidR="00F73C20">
        <w:t xml:space="preserve">of </w:t>
      </w:r>
      <w:r>
        <w:t>travel</w:t>
      </w:r>
      <w:r w:rsidR="00F73C20">
        <w:t xml:space="preserve">: </w:t>
      </w:r>
      <w:r>
        <w:t xml:space="preserve">air, train, </w:t>
      </w:r>
      <w:r w:rsidR="00F73C20">
        <w:t xml:space="preserve">auto - </w:t>
      </w:r>
      <w:r>
        <w:t>rented and services</w:t>
      </w:r>
      <w:r w:rsidR="00F73C20">
        <w:t>, etc</w:t>
      </w:r>
      <w:r>
        <w:t>.</w:t>
      </w:r>
    </w:p>
    <w:p w:rsidR="00422792" w:rsidRDefault="006230D2" w:rsidP="00422792">
      <w:pPr>
        <w:pStyle w:val="Heading3"/>
      </w:pPr>
      <w:bookmarkStart w:id="24" w:name="_Toc17984657"/>
      <w:r>
        <w:t>Ground Transportation</w:t>
      </w:r>
      <w:bookmarkEnd w:id="24"/>
    </w:p>
    <w:p w:rsidR="0016570A" w:rsidRDefault="0016570A" w:rsidP="006230D2">
      <w:pPr>
        <w:pStyle w:val="Heading4"/>
      </w:pPr>
      <w:r>
        <w:t xml:space="preserve">Personal </w:t>
      </w:r>
      <w:r w:rsidRPr="006230D2">
        <w:t>Automobiles</w:t>
      </w:r>
    </w:p>
    <w:p w:rsidR="00830A10" w:rsidRDefault="00927382" w:rsidP="00830A10">
      <w:r w:rsidRPr="00DE18C8">
        <w:t>Personal vehicle travel will be reimbursed at the stated IRS rate in effect at the time of travel.</w:t>
      </w:r>
      <w:r w:rsidR="00830A10" w:rsidRPr="00830A10">
        <w:t xml:space="preserve"> </w:t>
      </w:r>
      <w:r w:rsidR="00830A10" w:rsidRPr="00DE18C8">
        <w:t>The mileage rate is intended to cover the costs of operating a car for business purposes including standard maintenance, repairs, taxes, gas, insurance and registration fees.</w:t>
      </w:r>
    </w:p>
    <w:p w:rsidR="00830A10" w:rsidRPr="00B83025" w:rsidRDefault="00927382" w:rsidP="00830A10">
      <w:pPr>
        <w:pStyle w:val="ListParagraph"/>
        <w:numPr>
          <w:ilvl w:val="0"/>
          <w:numId w:val="25"/>
        </w:numPr>
      </w:pPr>
      <w:r w:rsidRPr="00DE18C8">
        <w:t xml:space="preserve">Current rates may be found at: </w:t>
      </w:r>
      <w:hyperlink r:id="rId30" w:history="1">
        <w:r w:rsidRPr="00830A10">
          <w:rPr>
            <w:color w:val="0000FF"/>
            <w:u w:val="single"/>
          </w:rPr>
          <w:t>https://www.irs.gov/tax-professionals/standard-mileage-rates</w:t>
        </w:r>
      </w:hyperlink>
    </w:p>
    <w:p w:rsidR="00B83025" w:rsidRDefault="00B96358" w:rsidP="00830A10">
      <w:pPr>
        <w:pStyle w:val="ListParagraph"/>
        <w:numPr>
          <w:ilvl w:val="0"/>
          <w:numId w:val="25"/>
        </w:numPr>
      </w:pPr>
      <w:r>
        <w:t>Reimbursement should not exceed the cost of commercial transportation, where available.</w:t>
      </w:r>
    </w:p>
    <w:p w:rsidR="00B96358" w:rsidRDefault="00B96358" w:rsidP="00830A10">
      <w:pPr>
        <w:pStyle w:val="ListParagraph"/>
        <w:numPr>
          <w:ilvl w:val="0"/>
          <w:numId w:val="25"/>
        </w:numPr>
      </w:pPr>
      <w:r>
        <w:t>For two or more persons traveling together in the same vehicle, only one person will be reimbursed for mileage.</w:t>
      </w:r>
    </w:p>
    <w:p w:rsidR="00B96358" w:rsidRDefault="00B96358" w:rsidP="00830A10">
      <w:pPr>
        <w:pStyle w:val="ListParagraph"/>
        <w:numPr>
          <w:ilvl w:val="0"/>
          <w:numId w:val="25"/>
        </w:numPr>
      </w:pPr>
      <w:r>
        <w:t>Reimbursement cannot be submitted when using College owned fleet vehicles.</w:t>
      </w:r>
    </w:p>
    <w:p w:rsidR="00A24BD6" w:rsidRPr="00A24BD6" w:rsidRDefault="00A24BD6" w:rsidP="00A24BD6">
      <w:pPr>
        <w:rPr>
          <w:rFonts w:ascii="Times New Roman" w:hAnsi="Times New Roman"/>
        </w:rPr>
      </w:pPr>
      <w:r w:rsidRPr="00DE18C8">
        <w:t xml:space="preserve">Information on how the College’s auto insurance coverage interfaces with an employee’s own auto insurance policy is available at: </w:t>
      </w:r>
      <w:hyperlink r:id="rId31" w:history="1">
        <w:r w:rsidRPr="00A24BD6">
          <w:rPr>
            <w:color w:val="0000FF"/>
            <w:u w:val="single"/>
          </w:rPr>
          <w:t>https://www.fivecolleges.edu/riskmgmt/policies/auto</w:t>
        </w:r>
      </w:hyperlink>
      <w:r>
        <w:t>.</w:t>
      </w:r>
    </w:p>
    <w:p w:rsidR="00830A10" w:rsidRDefault="00394D65" w:rsidP="00D50AC1">
      <w:pPr>
        <w:pStyle w:val="Heading6"/>
        <w:pBdr>
          <w:top w:val="single" w:sz="4" w:space="1" w:color="auto"/>
          <w:bottom w:val="single" w:sz="4" w:space="1" w:color="auto"/>
        </w:pBdr>
      </w:pPr>
      <w:r>
        <w:t>Documentation</w:t>
      </w:r>
      <w:r w:rsidR="0016570A">
        <w:t xml:space="preserve"> – Personal Automobile Use</w:t>
      </w:r>
    </w:p>
    <w:p w:rsidR="0016570A" w:rsidRDefault="00927382" w:rsidP="00830A10">
      <w:r w:rsidRPr="00DE18C8">
        <w:t>Travel mileage should be documented by providing a description of the starting and ending locations.</w:t>
      </w:r>
    </w:p>
    <w:p w:rsidR="00927382" w:rsidRDefault="00927382" w:rsidP="00830A10">
      <w:r w:rsidRPr="00DE18C8">
        <w:t>You can provide the actual odometer readings, or use an online mil</w:t>
      </w:r>
      <w:r w:rsidR="00AB2131">
        <w:t>eage calculator such as Google Maps</w:t>
      </w:r>
      <w:r w:rsidR="006E3954">
        <w:t>.</w:t>
      </w:r>
    </w:p>
    <w:p w:rsidR="0016570A" w:rsidRDefault="0016570A" w:rsidP="0016570A">
      <w:r w:rsidRPr="00DE18C8">
        <w:t>Indicate on the receipt the starting and ending point for the trip and a brief descript</w:t>
      </w:r>
      <w:r>
        <w:t>ion of the purpose of the trip.</w:t>
      </w:r>
    </w:p>
    <w:p w:rsidR="00927382" w:rsidRPr="00DE18C8" w:rsidRDefault="00927382" w:rsidP="0016570A">
      <w:pPr>
        <w:pStyle w:val="Heading4"/>
        <w:rPr>
          <w:rFonts w:ascii="Times New Roman" w:hAnsi="Times New Roman"/>
        </w:rPr>
      </w:pPr>
      <w:r w:rsidRPr="00DE18C8">
        <w:t>Rental Cars</w:t>
      </w:r>
    </w:p>
    <w:p w:rsidR="00422792" w:rsidRDefault="00927382" w:rsidP="00394D65">
      <w:r w:rsidRPr="00DE18C8">
        <w:t>Automobile rentals should be limited to situations where other means of transportation are not prac</w:t>
      </w:r>
      <w:r w:rsidR="00394D65">
        <w:t>tical, economical or available.</w:t>
      </w:r>
    </w:p>
    <w:p w:rsidR="00C45D1F" w:rsidRDefault="00C45D1F" w:rsidP="00C45D1F">
      <w:r>
        <w:t>When renting a car for College travel, you should:</w:t>
      </w:r>
    </w:p>
    <w:p w:rsidR="00C45D1F" w:rsidRDefault="00C45D1F" w:rsidP="00C45D1F">
      <w:pPr>
        <w:pStyle w:val="ListParagraph"/>
        <w:numPr>
          <w:ilvl w:val="0"/>
          <w:numId w:val="46"/>
        </w:numPr>
      </w:pPr>
      <w:r>
        <w:lastRenderedPageBreak/>
        <w:t>Choose the most economical price bracket offered by the rental agency</w:t>
      </w:r>
    </w:p>
    <w:p w:rsidR="00C45D1F" w:rsidRDefault="00C45D1F" w:rsidP="00C45D1F">
      <w:pPr>
        <w:pStyle w:val="ListParagraph"/>
        <w:numPr>
          <w:ilvl w:val="0"/>
          <w:numId w:val="46"/>
        </w:numPr>
      </w:pPr>
      <w:r>
        <w:t>Reserve the vehicle in both the names of the College and the individual</w:t>
      </w:r>
    </w:p>
    <w:p w:rsidR="00C45D1F" w:rsidRDefault="00C45D1F" w:rsidP="00C45D1F">
      <w:pPr>
        <w:pStyle w:val="ListParagraph"/>
        <w:numPr>
          <w:ilvl w:val="0"/>
          <w:numId w:val="46"/>
        </w:numPr>
      </w:pPr>
      <w:r>
        <w:t>Sign the rental agreement in both the names of the College and the individual</w:t>
      </w:r>
    </w:p>
    <w:p w:rsidR="00C45D1F" w:rsidRDefault="00C45D1F" w:rsidP="00C45D1F">
      <w:pPr>
        <w:pStyle w:val="ListParagraph"/>
        <w:numPr>
          <w:ilvl w:val="0"/>
          <w:numId w:val="46"/>
        </w:numPr>
      </w:pPr>
      <w:r>
        <w:t>Decline the liability insurance and collision insurance provided by the rental agency for vehicles rented/driven in the United States or Canada.</w:t>
      </w:r>
    </w:p>
    <w:p w:rsidR="00C45D1F" w:rsidRPr="00C45D1F" w:rsidRDefault="00C45D1F" w:rsidP="00C45D1F">
      <w:pPr>
        <w:rPr>
          <w:i/>
        </w:rPr>
      </w:pPr>
      <w:r w:rsidRPr="00C45D1F">
        <w:rPr>
          <w:i/>
        </w:rPr>
        <w:t>For any non-US rentals or Canadian rentals, you must take the applicable comprehensive and collision insurance provided by the rental company.</w:t>
      </w:r>
    </w:p>
    <w:p w:rsidR="00394D65" w:rsidRDefault="00394D65" w:rsidP="00394D65">
      <w:r w:rsidRPr="00DE18C8">
        <w:t xml:space="preserve">The College has discount agreements automobile rental agencies. Detailed information can be found at </w:t>
      </w:r>
      <w:hyperlink r:id="rId32" w:history="1">
        <w:r w:rsidRPr="00DE18C8">
          <w:rPr>
            <w:color w:val="0000FF"/>
            <w:u w:val="single"/>
          </w:rPr>
          <w:t>https://www.mtholyoke.edu/purchasing/car-rentals</w:t>
        </w:r>
      </w:hyperlink>
      <w:r w:rsidRPr="00DE18C8">
        <w:t>.</w:t>
      </w:r>
      <w:r>
        <w:t xml:space="preserve"> </w:t>
      </w:r>
    </w:p>
    <w:p w:rsidR="00A211DA" w:rsidRDefault="00A211DA" w:rsidP="00A211DA">
      <w:r w:rsidRPr="00DE18C8">
        <w:t>The College does not reimburse the cost to add an additional driver to the car rental unless the other driver is also traveling on College business.</w:t>
      </w:r>
    </w:p>
    <w:p w:rsidR="00394D65" w:rsidRDefault="00394D65" w:rsidP="00D50AC1">
      <w:pPr>
        <w:pStyle w:val="Heading6"/>
        <w:pBdr>
          <w:top w:val="single" w:sz="4" w:space="1" w:color="auto"/>
          <w:bottom w:val="single" w:sz="4" w:space="1" w:color="auto"/>
        </w:pBdr>
      </w:pPr>
      <w:r>
        <w:t>Documentation</w:t>
      </w:r>
      <w:r w:rsidR="0016570A">
        <w:t xml:space="preserve"> – Rental Cars</w:t>
      </w:r>
    </w:p>
    <w:p w:rsidR="0016570A" w:rsidRDefault="00927382" w:rsidP="00394D65">
      <w:r w:rsidRPr="00DE18C8">
        <w:t>Reimbursable costs include the daily rental fee, gasol</w:t>
      </w:r>
      <w:r w:rsidR="0016570A">
        <w:t xml:space="preserve">ine charges, parking and tolls. </w:t>
      </w:r>
      <w:r w:rsidR="004A0D11">
        <w:t>Original</w:t>
      </w:r>
      <w:r w:rsidR="0016570A">
        <w:t xml:space="preserve"> </w:t>
      </w:r>
      <w:r w:rsidR="00FD3047">
        <w:t xml:space="preserve">itemized </w:t>
      </w:r>
      <w:r w:rsidR="0016570A">
        <w:t>receipts are required.</w:t>
      </w:r>
    </w:p>
    <w:p w:rsidR="0016570A" w:rsidRDefault="0016570A" w:rsidP="0016570A">
      <w:r w:rsidRPr="00DE18C8">
        <w:t>Indicate on the receipt the starting and ending point for the trip and a brief descript</w:t>
      </w:r>
      <w:r>
        <w:t>ion of the purpose of the trip.</w:t>
      </w:r>
    </w:p>
    <w:p w:rsidR="00927382" w:rsidRPr="00DE18C8" w:rsidRDefault="00927382" w:rsidP="0016570A">
      <w:pPr>
        <w:pStyle w:val="Heading4"/>
        <w:rPr>
          <w:rFonts w:ascii="Times New Roman" w:hAnsi="Times New Roman"/>
        </w:rPr>
      </w:pPr>
      <w:r w:rsidRPr="00DE18C8">
        <w:t xml:space="preserve">Bus, Train, Taxi, </w:t>
      </w:r>
      <w:r w:rsidR="006E3954">
        <w:t xml:space="preserve">Rideshare, </w:t>
      </w:r>
      <w:r w:rsidRPr="00DE18C8">
        <w:t>Limousine Service</w:t>
      </w:r>
      <w:r w:rsidR="006E3954">
        <w:t>, Other</w:t>
      </w:r>
    </w:p>
    <w:p w:rsidR="00394D65" w:rsidRDefault="00927382" w:rsidP="00394D65">
      <w:r w:rsidRPr="00DE18C8">
        <w:t xml:space="preserve">Travelers that use </w:t>
      </w:r>
      <w:r w:rsidR="006E3954">
        <w:t xml:space="preserve">ground transportation </w:t>
      </w:r>
      <w:r w:rsidRPr="00DE18C8">
        <w:t>should seek the most economical and reasonable alternative available.</w:t>
      </w:r>
    </w:p>
    <w:p w:rsidR="00513459" w:rsidRDefault="00513459" w:rsidP="00513459">
      <w:pPr>
        <w:pStyle w:val="ListParagraph"/>
        <w:numPr>
          <w:ilvl w:val="0"/>
          <w:numId w:val="25"/>
        </w:numPr>
      </w:pPr>
      <w:r w:rsidRPr="00DE18C8">
        <w:t>Limousine service to and from airports should only be used when other means of transportation are not practical or available.</w:t>
      </w:r>
    </w:p>
    <w:p w:rsidR="00513459" w:rsidRPr="00394D65" w:rsidRDefault="00513459" w:rsidP="00513459">
      <w:pPr>
        <w:pStyle w:val="ListParagraph"/>
        <w:numPr>
          <w:ilvl w:val="0"/>
          <w:numId w:val="25"/>
        </w:numPr>
        <w:rPr>
          <w:rFonts w:ascii="Times New Roman" w:hAnsi="Times New Roman"/>
        </w:rPr>
      </w:pPr>
      <w:r w:rsidRPr="00DE18C8">
        <w:t>Airport shuttle buses are permitted.</w:t>
      </w:r>
    </w:p>
    <w:p w:rsidR="00394D65" w:rsidRDefault="00394D65" w:rsidP="00D50AC1">
      <w:pPr>
        <w:pStyle w:val="Heading6"/>
        <w:pBdr>
          <w:top w:val="single" w:sz="4" w:space="1" w:color="auto"/>
          <w:bottom w:val="single" w:sz="4" w:space="1" w:color="auto"/>
        </w:pBdr>
      </w:pPr>
      <w:r>
        <w:t>Documentation</w:t>
      </w:r>
      <w:r w:rsidR="0016570A">
        <w:t xml:space="preserve"> – Bus, Train, Taxi, </w:t>
      </w:r>
      <w:r w:rsidR="006E3954">
        <w:t xml:space="preserve">Rideshare, </w:t>
      </w:r>
      <w:r w:rsidR="0016570A">
        <w:t>Limousine</w:t>
      </w:r>
      <w:r w:rsidR="006E3954">
        <w:t xml:space="preserve"> Service</w:t>
      </w:r>
      <w:r w:rsidR="00442BCE">
        <w:t xml:space="preserve">, </w:t>
      </w:r>
      <w:r w:rsidR="006E3954">
        <w:t>O</w:t>
      </w:r>
      <w:r w:rsidR="00442BCE">
        <w:t>ther</w:t>
      </w:r>
    </w:p>
    <w:p w:rsidR="0016570A" w:rsidRDefault="00927382" w:rsidP="00394D65">
      <w:r w:rsidRPr="00DE18C8">
        <w:t>A receipt should be provided to document these expenses.</w:t>
      </w:r>
    </w:p>
    <w:p w:rsidR="00394D65" w:rsidRDefault="00927382" w:rsidP="00394D65">
      <w:r w:rsidRPr="00DE18C8">
        <w:t>Indicate on the receipt the starting and ending point for the trip and a brief descript</w:t>
      </w:r>
      <w:r w:rsidR="00394D65">
        <w:t>ion of the purpose of the trip.</w:t>
      </w:r>
    </w:p>
    <w:p w:rsidR="006C3BC4" w:rsidRDefault="00513459" w:rsidP="0016570A">
      <w:pPr>
        <w:pStyle w:val="Heading3"/>
      </w:pPr>
      <w:bookmarkStart w:id="25" w:name="_Toc17984658"/>
      <w:r>
        <w:t xml:space="preserve">Travel </w:t>
      </w:r>
      <w:r w:rsidRPr="0016570A">
        <w:t>by</w:t>
      </w:r>
      <w:r>
        <w:t xml:space="preserve"> Air</w:t>
      </w:r>
      <w:bookmarkEnd w:id="25"/>
    </w:p>
    <w:p w:rsidR="00CC28C5" w:rsidRDefault="00CC28C5" w:rsidP="00442BCE">
      <w:pPr>
        <w:pStyle w:val="Heading4"/>
      </w:pPr>
      <w:r>
        <w:t xml:space="preserve">Frequent </w:t>
      </w:r>
      <w:r w:rsidRPr="009E0EE0">
        <w:t>Flyer</w:t>
      </w:r>
      <w:r>
        <w:t xml:space="preserve"> Miles</w:t>
      </w:r>
    </w:p>
    <w:p w:rsidR="00CC28C5" w:rsidRDefault="00CC28C5" w:rsidP="00CC28C5">
      <w:r w:rsidRPr="00DE18C8">
        <w:t>The employee may retain frequent flier miles; however, an employee should always travel on the least expensive airline; not the airline with which they have a frequent flier account. If an employee uses frequent flier miles, personal credit vouchers, etc. to pay for business travel, they cannot be reimbursed for it.</w:t>
      </w:r>
    </w:p>
    <w:p w:rsidR="00F06CC5" w:rsidRPr="00756167" w:rsidRDefault="00F06CC5" w:rsidP="003C3C99">
      <w:pPr>
        <w:pStyle w:val="Heading4"/>
      </w:pPr>
      <w:r w:rsidRPr="00756167">
        <w:t>Baggage Fees</w:t>
      </w:r>
    </w:p>
    <w:p w:rsidR="00442BCE" w:rsidRPr="00756167" w:rsidRDefault="00442BCE" w:rsidP="00CC28C5">
      <w:r w:rsidRPr="00756167">
        <w:t xml:space="preserve">The rules surrounding baggage fees are evolving. On one airline there may be no fees, on another airline all bags checked are charged a fee. </w:t>
      </w:r>
      <w:r w:rsidR="0047750D" w:rsidRPr="00756167">
        <w:t xml:space="preserve">In addition, how much your luggage weighs needs to be taken into </w:t>
      </w:r>
      <w:r w:rsidR="005C1426" w:rsidRPr="00756167">
        <w:t>consideration.</w:t>
      </w:r>
      <w:r w:rsidR="0047750D" w:rsidRPr="00756167">
        <w:t xml:space="preserve"> </w:t>
      </w:r>
      <w:r w:rsidRPr="00756167">
        <w:t xml:space="preserve">Luggage weight (and count) is monitored closely by many if not all airlines. Besides knowing what you can and cannot bring on an airline, you must now navigate the </w:t>
      </w:r>
      <w:r w:rsidR="00F74DBC" w:rsidRPr="00756167">
        <w:t xml:space="preserve">airline </w:t>
      </w:r>
      <w:r w:rsidRPr="00756167">
        <w:t xml:space="preserve">site to determine what it will cost. </w:t>
      </w:r>
      <w:r w:rsidR="00F74DBC" w:rsidRPr="00756167">
        <w:t>Don’t be surprised when you arrive at the airport, take the time to check out the airline site in advance of your trip.</w:t>
      </w:r>
    </w:p>
    <w:p w:rsidR="00756167" w:rsidRPr="009E5E7C" w:rsidRDefault="00756167" w:rsidP="009E5E7C">
      <w:pPr>
        <w:pStyle w:val="ListParagraph"/>
        <w:numPr>
          <w:ilvl w:val="0"/>
          <w:numId w:val="47"/>
        </w:numPr>
      </w:pPr>
      <w:r w:rsidRPr="009E5E7C">
        <w:t>If you incur baggage fees, reimbursement for the first checked bag, meeting airline weight requirements is allowed.</w:t>
      </w:r>
    </w:p>
    <w:p w:rsidR="00513459" w:rsidRPr="00DE18C8" w:rsidRDefault="00513459" w:rsidP="00CC28C5">
      <w:pPr>
        <w:pStyle w:val="Heading4"/>
        <w:rPr>
          <w:rFonts w:ascii="Times New Roman" w:hAnsi="Times New Roman"/>
        </w:rPr>
      </w:pPr>
      <w:r w:rsidRPr="00DE18C8">
        <w:lastRenderedPageBreak/>
        <w:t>Domestic Air Travel</w:t>
      </w:r>
    </w:p>
    <w:p w:rsidR="00061800" w:rsidRDefault="00513459" w:rsidP="00061800">
      <w:r w:rsidRPr="00DE18C8">
        <w:t xml:space="preserve">A traveler’s actual cost for commercial air </w:t>
      </w:r>
      <w:r w:rsidR="00061800">
        <w:t>travel expense is reimbursable.</w:t>
      </w:r>
      <w:r w:rsidRPr="00DE18C8">
        <w:t xml:space="preserve"> Travelers are expected to take the least costly fare offered that realistically meets scheduling needs. The College does </w:t>
      </w:r>
      <w:r w:rsidRPr="00DE18C8">
        <w:rPr>
          <w:i/>
          <w:iCs/>
        </w:rPr>
        <w:t>not</w:t>
      </w:r>
      <w:r w:rsidRPr="00DE18C8">
        <w:t xml:space="preserve"> permit travel by first </w:t>
      </w:r>
      <w:r w:rsidR="009E0EE0">
        <w:t xml:space="preserve">class </w:t>
      </w:r>
      <w:r w:rsidRPr="00DE18C8">
        <w:t xml:space="preserve">or business class. </w:t>
      </w:r>
    </w:p>
    <w:p w:rsidR="00072515" w:rsidRDefault="00061800" w:rsidP="00061800">
      <w:r w:rsidRPr="00DE18C8">
        <w:t>The airline industry in recent years has had a rapidly evolving fare structure that may include charges for seat assignment, seat upgrades, Wi-Fi, early boarding fee an</w:t>
      </w:r>
      <w:r>
        <w:t>d other miscellaneous expenses.</w:t>
      </w:r>
      <w:r w:rsidRPr="00DE18C8">
        <w:t xml:space="preserve"> The College’s goal is to allow our travelers to travel efficiently and comfortably. This policy cannot outline all of the scenarios regarding airfare travel fees. </w:t>
      </w:r>
    </w:p>
    <w:p w:rsidR="00072515" w:rsidRDefault="00061800" w:rsidP="00072515">
      <w:pPr>
        <w:pStyle w:val="ListParagraph"/>
        <w:numPr>
          <w:ilvl w:val="0"/>
          <w:numId w:val="26"/>
        </w:numPr>
      </w:pPr>
      <w:r w:rsidRPr="00DE18C8">
        <w:t>Seat assignment fees are a covered expense.</w:t>
      </w:r>
    </w:p>
    <w:p w:rsidR="00072515" w:rsidRDefault="00061800" w:rsidP="00072515">
      <w:pPr>
        <w:pStyle w:val="ListParagraph"/>
        <w:numPr>
          <w:ilvl w:val="0"/>
          <w:numId w:val="26"/>
        </w:numPr>
      </w:pPr>
      <w:r w:rsidRPr="00DE18C8">
        <w:t xml:space="preserve">Seat upgrade fees are </w:t>
      </w:r>
      <w:r w:rsidRPr="009E0EE0">
        <w:rPr>
          <w:i/>
        </w:rPr>
        <w:t>not</w:t>
      </w:r>
      <w:r w:rsidRPr="00DE18C8">
        <w:t xml:space="preserve"> a covered business expense.</w:t>
      </w:r>
    </w:p>
    <w:p w:rsidR="00072515" w:rsidRPr="00072515" w:rsidRDefault="00072515" w:rsidP="00072515">
      <w:pPr>
        <w:pStyle w:val="ListParagraph"/>
        <w:numPr>
          <w:ilvl w:val="0"/>
          <w:numId w:val="26"/>
        </w:numPr>
        <w:rPr>
          <w:rFonts w:ascii="Times New Roman" w:hAnsi="Times New Roman"/>
        </w:rPr>
      </w:pPr>
      <w:r w:rsidRPr="00DE18C8">
        <w:t xml:space="preserve">The cost of domestic air travel insurance is </w:t>
      </w:r>
      <w:r w:rsidRPr="009E0EE0">
        <w:rPr>
          <w:i/>
        </w:rPr>
        <w:t>not</w:t>
      </w:r>
      <w:r w:rsidRPr="00DE18C8">
        <w:t xml:space="preserve"> a reimbursable expense except in very limited circumstances with advance approval of the division Vice President.</w:t>
      </w:r>
    </w:p>
    <w:p w:rsidR="00513459" w:rsidRPr="00DE18C8" w:rsidRDefault="00513459" w:rsidP="00CC28C5">
      <w:pPr>
        <w:pStyle w:val="Heading4"/>
        <w:rPr>
          <w:rFonts w:ascii="Times New Roman" w:hAnsi="Times New Roman"/>
        </w:rPr>
      </w:pPr>
      <w:r w:rsidRPr="00DE18C8">
        <w:t>International Air Travel </w:t>
      </w:r>
    </w:p>
    <w:p w:rsidR="00513459" w:rsidRDefault="00513459" w:rsidP="00061800">
      <w:r w:rsidRPr="00DE18C8">
        <w:t>As with all travel, there should be a legitimate business purpose in order for a trip to be reimbursed by College funds. This issue is more salient for international travel, because it is often more expensive and therefore a cost benefit analysis should be completed for each internationa</w:t>
      </w:r>
      <w:r w:rsidR="003821F4">
        <w:t>l trip.</w:t>
      </w:r>
    </w:p>
    <w:p w:rsidR="00513459" w:rsidRPr="00DE18C8" w:rsidRDefault="00513459" w:rsidP="00061800">
      <w:r w:rsidRPr="00DE18C8">
        <w:t xml:space="preserve">Individuals traveling to Asia Pacific, Africa or the Middle East on Admission, Advancement or Alumnae Association business, travelers may be reimbursed for business class with the </w:t>
      </w:r>
      <w:r w:rsidRPr="00DE18C8">
        <w:rPr>
          <w:b/>
          <w:bCs/>
        </w:rPr>
        <w:t>advance</w:t>
      </w:r>
      <w:r w:rsidRPr="00DE18C8">
        <w:t xml:space="preserve"> approval of a Senior Officer and the President. The incremental cost of an upgrade should be weighed against the cost and ability to extend a trip to accommodate</w:t>
      </w:r>
      <w:r w:rsidR="003821F4">
        <w:t xml:space="preserve"> a day of rest and transition. </w:t>
      </w:r>
      <w:r w:rsidRPr="00DE18C8">
        <w:t>Any increased costs associated with an upgrade to business class are to be absorbed into existi</w:t>
      </w:r>
      <w:r w:rsidR="003821F4">
        <w:t>ng departmental travel budgets.</w:t>
      </w:r>
    </w:p>
    <w:p w:rsidR="00DE55EC" w:rsidRPr="00DE18C8" w:rsidRDefault="00DE55EC" w:rsidP="00DE55EC">
      <w:pPr>
        <w:rPr>
          <w:rFonts w:ascii="Times New Roman" w:hAnsi="Times New Roman"/>
        </w:rPr>
      </w:pPr>
      <w:bookmarkStart w:id="26" w:name="_Lodging"/>
      <w:bookmarkEnd w:id="26"/>
      <w:r w:rsidRPr="00DE18C8">
        <w:t xml:space="preserve">Please review the </w:t>
      </w:r>
      <w:hyperlink r:id="rId33" w:history="1">
        <w:r w:rsidRPr="009E0EE0">
          <w:rPr>
            <w:rStyle w:val="Hyperlink"/>
          </w:rPr>
          <w:t>Compliance and Risk Management website</w:t>
        </w:r>
      </w:hyperlink>
      <w:r w:rsidRPr="00DE18C8">
        <w:t xml:space="preserve"> regarding travel abroad.</w:t>
      </w:r>
      <w:r w:rsidRPr="00DE18C8">
        <w:rPr>
          <w:rFonts w:ascii="Times New Roman" w:hAnsi="Times New Roman"/>
          <w:sz w:val="20"/>
          <w:szCs w:val="20"/>
        </w:rPr>
        <w:t xml:space="preserve"> </w:t>
      </w:r>
    </w:p>
    <w:p w:rsidR="00F809D4" w:rsidRDefault="00122BC1" w:rsidP="00F809D4">
      <w:pPr>
        <w:pStyle w:val="Heading6"/>
        <w:pBdr>
          <w:top w:val="single" w:sz="4" w:space="1" w:color="auto"/>
          <w:bottom w:val="single" w:sz="4" w:space="1" w:color="auto"/>
        </w:pBdr>
      </w:pPr>
      <w:r>
        <w:t xml:space="preserve">Documentation - </w:t>
      </w:r>
      <w:r w:rsidR="00F809D4">
        <w:t>Air Travel</w:t>
      </w:r>
    </w:p>
    <w:p w:rsidR="00F809D4" w:rsidRDefault="00F809D4" w:rsidP="00F809D4">
      <w:r w:rsidRPr="00DE18C8">
        <w:t xml:space="preserve">The receipt must show the travelers name, destination details, fare class, </w:t>
      </w:r>
      <w:r w:rsidR="00122BC1">
        <w:t xml:space="preserve">purchase date, </w:t>
      </w:r>
      <w:r w:rsidRPr="00DE18C8">
        <w:t>price of the fare paid and the method of paymen</w:t>
      </w:r>
      <w:r w:rsidR="00122BC1">
        <w:t>t.</w:t>
      </w:r>
    </w:p>
    <w:p w:rsidR="000D2885" w:rsidRPr="00DE18C8" w:rsidRDefault="000D2885" w:rsidP="00F809D4">
      <w:pPr>
        <w:rPr>
          <w:rFonts w:ascii="Times New Roman" w:hAnsi="Times New Roman"/>
        </w:rPr>
      </w:pPr>
      <w:r>
        <w:t>If booking a bundled travel package (via Expedia, Travelocity, etc.), please document individual charges (lodging, air travel, etc.). On occasion the individual charges will be spelled out on your credit card information. At other times you may have to contact the agency directly for a detailed receipt.</w:t>
      </w:r>
    </w:p>
    <w:p w:rsidR="00F809D4" w:rsidRDefault="00F809D4" w:rsidP="00F809D4">
      <w:r w:rsidRPr="00DE18C8">
        <w:t xml:space="preserve">The traveler is expected to document and provide explanations for </w:t>
      </w:r>
      <w:r>
        <w:t>additional airline fees.</w:t>
      </w:r>
      <w:r w:rsidRPr="00DE18C8">
        <w:t xml:space="preserve"> If you don’t know if a fee is covered, prior to booking the expense, please ask </w:t>
      </w:r>
      <w:r>
        <w:t>A</w:t>
      </w:r>
      <w:r w:rsidRPr="00DE18C8">
        <w:t xml:space="preserve">ccounts </w:t>
      </w:r>
      <w:r>
        <w:t>P</w:t>
      </w:r>
      <w:r w:rsidRPr="00DE18C8">
        <w:t>ayable if it has customarily been a covered expense and what documentation may</w:t>
      </w:r>
      <w:r w:rsidR="003C3C99">
        <w:t xml:space="preserve"> </w:t>
      </w:r>
      <w:r w:rsidRPr="00DE18C8">
        <w:t>be needed for reimbursement.</w:t>
      </w:r>
      <w:r w:rsidRPr="00072515">
        <w:t xml:space="preserve"> </w:t>
      </w:r>
    </w:p>
    <w:p w:rsidR="006C3BC4" w:rsidRDefault="00422792" w:rsidP="00770E9C">
      <w:pPr>
        <w:pStyle w:val="Heading2"/>
      </w:pPr>
      <w:bookmarkStart w:id="27" w:name="_Toc17984659"/>
      <w:r>
        <w:t>Lodging</w:t>
      </w:r>
      <w:bookmarkEnd w:id="27"/>
    </w:p>
    <w:p w:rsidR="00CA6FDD" w:rsidRDefault="00CA6FDD" w:rsidP="00CA6FDD">
      <w:r>
        <w:t>Travelers on a College trip are expected to use good judgment in securing hotel/motel accommodations which are most economical from both a rate and location standpoint. Overnight accommodations at a hotel should normally be at the minimum single rate. Many hotels (e.g. Sheraton) offer discounts to College personnel, and travelers should ask for corporate or educational discounts at all hotels and motels.</w:t>
      </w:r>
    </w:p>
    <w:p w:rsidR="00AD6D13" w:rsidRDefault="00AD6D13" w:rsidP="00CA6FDD">
      <w:r>
        <w:t xml:space="preserve">For more information on lodging discounts, please visit the </w:t>
      </w:r>
      <w:hyperlink r:id="rId34" w:history="1">
        <w:r w:rsidRPr="00AD6D13">
          <w:rPr>
            <w:rStyle w:val="Hyperlink"/>
          </w:rPr>
          <w:t>Purchasing</w:t>
        </w:r>
      </w:hyperlink>
      <w:r>
        <w:t xml:space="preserve"> website Hotel rates section. There you will find details about hotel rates here at the College, locally, national hotel chains, Airbnb’s and VRBO </w:t>
      </w:r>
      <w:r w:rsidR="003C3C99">
        <w:t>(Home</w:t>
      </w:r>
      <w:r>
        <w:t xml:space="preserve"> Away).</w:t>
      </w:r>
    </w:p>
    <w:p w:rsidR="00D7060F" w:rsidRPr="00DE18C8" w:rsidRDefault="00D7060F" w:rsidP="00D7060F">
      <w:pPr>
        <w:rPr>
          <w:rFonts w:ascii="Times New Roman" w:hAnsi="Times New Roman"/>
        </w:rPr>
      </w:pPr>
      <w:r>
        <w:lastRenderedPageBreak/>
        <w:t>S</w:t>
      </w:r>
      <w:r w:rsidRPr="00DE18C8">
        <w:t>taying with family or friends is allowed and encouraged. A small token of appreciation for your host, e.g. gift or meal up to $100, is permitted with an itemized receipt.</w:t>
      </w:r>
    </w:p>
    <w:p w:rsidR="00D50AC1" w:rsidRDefault="00D50AC1" w:rsidP="00D50AC1">
      <w:pPr>
        <w:pStyle w:val="Heading6"/>
        <w:pBdr>
          <w:top w:val="single" w:sz="4" w:space="1" w:color="auto"/>
          <w:bottom w:val="single" w:sz="4" w:space="1" w:color="auto"/>
        </w:pBdr>
      </w:pPr>
      <w:r>
        <w:t>Documentation</w:t>
      </w:r>
      <w:r w:rsidR="00F809D4">
        <w:t xml:space="preserve"> - Lodging</w:t>
      </w:r>
    </w:p>
    <w:p w:rsidR="00D50AC1" w:rsidRPr="001013E5" w:rsidRDefault="00D50AC1" w:rsidP="00D50AC1">
      <w:r w:rsidRPr="00DE18C8">
        <w:t xml:space="preserve">Itemized </w:t>
      </w:r>
      <w:r w:rsidR="00D7060F">
        <w:t>lodging</w:t>
      </w:r>
      <w:r w:rsidRPr="00DE18C8">
        <w:t xml:space="preserve"> receipts </w:t>
      </w:r>
      <w:r w:rsidR="001013E5">
        <w:t>are required for reimbursement</w:t>
      </w:r>
      <w:r w:rsidRPr="00DE18C8">
        <w:t>, documentation should indicate the p</w:t>
      </w:r>
      <w:r>
        <w:t xml:space="preserve">ayment method and amount paid. </w:t>
      </w:r>
    </w:p>
    <w:p w:rsidR="00D50AC1" w:rsidRDefault="00CC337D" w:rsidP="00770E9C">
      <w:pPr>
        <w:pStyle w:val="Heading2"/>
      </w:pPr>
      <w:bookmarkStart w:id="28" w:name="_Meals,_Alcohol_&amp;"/>
      <w:bookmarkStart w:id="29" w:name="_Toc17984660"/>
      <w:bookmarkEnd w:id="28"/>
      <w:r>
        <w:t>Meals</w:t>
      </w:r>
      <w:r w:rsidR="000C1C3B">
        <w:t>, Alcohol</w:t>
      </w:r>
      <w:r w:rsidR="004039FE">
        <w:t>, Tips &amp; Gratuities</w:t>
      </w:r>
      <w:bookmarkEnd w:id="29"/>
    </w:p>
    <w:p w:rsidR="000C1C3B" w:rsidRDefault="000C1C3B" w:rsidP="000C1C3B">
      <w:r w:rsidRPr="00DE18C8">
        <w:t xml:space="preserve">Mount Holyoke College will reimburse a traveler for allowable meal and incidental expenses incurred </w:t>
      </w:r>
      <w:r>
        <w:t xml:space="preserve">during college-related travel. </w:t>
      </w:r>
    </w:p>
    <w:p w:rsidR="00176D47" w:rsidRDefault="00176D47" w:rsidP="00176D47">
      <w:r w:rsidRPr="00DE18C8">
        <w:t xml:space="preserve">The College will generally reimburse travelers for three meals a day. On the days of travel to or from the destination, the individual's departure and return times will determine whether a meal was incurred during the period of travel and is therefore reimbursable. </w:t>
      </w:r>
    </w:p>
    <w:p w:rsidR="00176D47" w:rsidRDefault="00176D47" w:rsidP="00176D47">
      <w:r w:rsidRPr="00DE18C8">
        <w:t>Meal reimbursement for same day travel is allowed only for meals purchased out-of-town.</w:t>
      </w:r>
    </w:p>
    <w:p w:rsidR="00C04E04" w:rsidRPr="00DE18C8" w:rsidRDefault="00C04E04" w:rsidP="00C04E04">
      <w:pPr>
        <w:rPr>
          <w:rFonts w:ascii="Times New Roman" w:hAnsi="Times New Roman"/>
        </w:rPr>
      </w:pPr>
      <w:r w:rsidRPr="00DE18C8">
        <w:t>Mount Holyoke does not reimburse for outside meals when they are provided as part of a conference</w:t>
      </w:r>
      <w:r>
        <w:t xml:space="preserve"> or cost of lodging.</w:t>
      </w:r>
    </w:p>
    <w:p w:rsidR="000C1C3B" w:rsidRPr="00DE18C8" w:rsidRDefault="000C1C3B" w:rsidP="000C1C3B">
      <w:pPr>
        <w:rPr>
          <w:rFonts w:ascii="Times New Roman" w:hAnsi="Times New Roman"/>
        </w:rPr>
      </w:pPr>
      <w:r w:rsidRPr="00DE18C8">
        <w:t>The college provides two distinct methods for reimbursement</w:t>
      </w:r>
      <w:r w:rsidR="004039FE">
        <w:t xml:space="preserve">. </w:t>
      </w:r>
      <w:r w:rsidR="004039FE" w:rsidRPr="00DE18C8">
        <w:t xml:space="preserve">During a trip, </w:t>
      </w:r>
      <w:r w:rsidR="004039FE" w:rsidRPr="000C1C3B">
        <w:rPr>
          <w:i/>
        </w:rPr>
        <w:t>only one method</w:t>
      </w:r>
      <w:r w:rsidR="004039FE">
        <w:t xml:space="preserve"> can be used.</w:t>
      </w:r>
    </w:p>
    <w:p w:rsidR="000C1C3B" w:rsidRPr="000C1C3B" w:rsidRDefault="000C1C3B" w:rsidP="000C1C3B">
      <w:pPr>
        <w:pStyle w:val="ListParagraph"/>
        <w:numPr>
          <w:ilvl w:val="0"/>
          <w:numId w:val="30"/>
        </w:numPr>
        <w:rPr>
          <w:rFonts w:ascii="Arial" w:hAnsi="Arial" w:cs="Arial"/>
          <w:sz w:val="20"/>
          <w:szCs w:val="20"/>
        </w:rPr>
      </w:pPr>
      <w:r w:rsidRPr="000C1C3B">
        <w:rPr>
          <w:rFonts w:cs="Arial"/>
        </w:rPr>
        <w:t xml:space="preserve">meal and incidentals </w:t>
      </w:r>
      <w:r w:rsidRPr="000C1C3B">
        <w:rPr>
          <w:rFonts w:cs="Arial"/>
          <w:i/>
          <w:iCs/>
        </w:rPr>
        <w:t>per diem</w:t>
      </w:r>
      <w:r>
        <w:rPr>
          <w:rFonts w:cs="Arial"/>
        </w:rPr>
        <w:t xml:space="preserve"> during travel</w:t>
      </w:r>
    </w:p>
    <w:p w:rsidR="000C1C3B" w:rsidRPr="000C1C3B" w:rsidRDefault="000C1C3B" w:rsidP="000C1C3B">
      <w:pPr>
        <w:pStyle w:val="ListParagraph"/>
        <w:numPr>
          <w:ilvl w:val="0"/>
          <w:numId w:val="30"/>
        </w:numPr>
        <w:rPr>
          <w:rFonts w:ascii="Arial" w:hAnsi="Arial" w:cs="Arial"/>
          <w:sz w:val="20"/>
          <w:szCs w:val="20"/>
        </w:rPr>
      </w:pPr>
      <w:r w:rsidRPr="000C1C3B">
        <w:rPr>
          <w:rFonts w:cs="Arial"/>
          <w:i/>
          <w:iCs/>
        </w:rPr>
        <w:t xml:space="preserve">actual </w:t>
      </w:r>
      <w:r w:rsidRPr="000C1C3B">
        <w:rPr>
          <w:rFonts w:cs="Arial"/>
        </w:rPr>
        <w:t>c</w:t>
      </w:r>
      <w:r>
        <w:rPr>
          <w:rFonts w:cs="Arial"/>
        </w:rPr>
        <w:t>ost, for travel or local meals</w:t>
      </w:r>
    </w:p>
    <w:p w:rsidR="00C04E04" w:rsidRDefault="00C04E04" w:rsidP="00C04E04">
      <w:r>
        <w:t>I</w:t>
      </w:r>
      <w:r w:rsidRPr="00DE18C8">
        <w:t xml:space="preserve">f using the per diem rate for ease of reimbursement processing, please </w:t>
      </w:r>
      <w:r>
        <w:t xml:space="preserve">refer to the section describing </w:t>
      </w:r>
      <w:hyperlink w:anchor="_Meals_While_Traveling" w:history="1">
        <w:r w:rsidRPr="003C4619">
          <w:rPr>
            <w:rStyle w:val="Hyperlink"/>
          </w:rPr>
          <w:t>per diems</w:t>
        </w:r>
      </w:hyperlink>
      <w:r>
        <w:t xml:space="preserve"> </w:t>
      </w:r>
      <w:r w:rsidRPr="00DE18C8">
        <w:t>for limits and additional details</w:t>
      </w:r>
      <w:r>
        <w:t>.</w:t>
      </w:r>
    </w:p>
    <w:p w:rsidR="0072382F" w:rsidRDefault="0072382F" w:rsidP="00C04E04">
      <w:r>
        <w:t>When you have special dietary needs, and meals are provided as part of conference fees, it is the responsibility of the Mount Holyoke College employee to communicate those needs to conference personnel in a timely manner so they can accommodate appropriately.</w:t>
      </w:r>
    </w:p>
    <w:p w:rsidR="002A01D2" w:rsidRPr="00DE18C8" w:rsidRDefault="002A01D2" w:rsidP="002A01D2">
      <w:pPr>
        <w:pStyle w:val="Heading4"/>
      </w:pPr>
      <w:bookmarkStart w:id="30" w:name="_Meals_While_Traveling_1"/>
      <w:bookmarkEnd w:id="30"/>
      <w:r>
        <w:t>Meals While Traveling – Per Diem</w:t>
      </w:r>
    </w:p>
    <w:p w:rsidR="002A01D2" w:rsidRPr="00AF2EAA" w:rsidRDefault="002A01D2" w:rsidP="002A01D2">
      <w:r w:rsidRPr="009447EE">
        <w:t>Recei</w:t>
      </w:r>
      <w:r w:rsidRPr="000C1C3B">
        <w:t>pts and detailed documentation are not required when requesting reimbursement of meals and incidentals using the per-diem option. The following apply using the meal and incidentals pe</w:t>
      </w:r>
      <w:r>
        <w:t xml:space="preserve">r diem </w:t>
      </w:r>
      <w:r w:rsidRPr="00AF2EAA">
        <w:t>method of reimbursement.</w:t>
      </w:r>
    </w:p>
    <w:p w:rsidR="002A01D2" w:rsidRPr="00AF2EAA" w:rsidRDefault="002A01D2" w:rsidP="002A01D2">
      <w:pPr>
        <w:pStyle w:val="ListParagraph"/>
        <w:numPr>
          <w:ilvl w:val="0"/>
          <w:numId w:val="28"/>
        </w:numPr>
      </w:pPr>
      <w:r w:rsidRPr="00AF2EAA">
        <w:t>Domestic travel reimbursement rate for meals and incidentals is $45.00 per day</w:t>
      </w:r>
    </w:p>
    <w:p w:rsidR="009447EE" w:rsidRDefault="002A01D2" w:rsidP="00143B63">
      <w:pPr>
        <w:pStyle w:val="ListParagraph"/>
        <w:numPr>
          <w:ilvl w:val="0"/>
          <w:numId w:val="28"/>
        </w:numPr>
      </w:pPr>
      <w:r w:rsidRPr="00AF2EAA">
        <w:t>International travel reimbursement for meals an</w:t>
      </w:r>
      <w:r w:rsidR="009447EE">
        <w:t>d incidentals is $55.00 per day</w:t>
      </w:r>
    </w:p>
    <w:p w:rsidR="002A01D2" w:rsidRDefault="002A01D2" w:rsidP="009447EE">
      <w:r w:rsidRPr="000C1C3B">
        <w:t xml:space="preserve">Per-diem rates should be reduced </w:t>
      </w:r>
      <w:r w:rsidR="00702513">
        <w:t xml:space="preserve">in the following manner: </w:t>
      </w:r>
      <w:r w:rsidRPr="000C1C3B">
        <w:t>if some of the meals are provided by another source (i.e. free breakfast provided by the h</w:t>
      </w:r>
      <w:r w:rsidR="008C53D3">
        <w:t>otel, conference provided m</w:t>
      </w:r>
      <w:r w:rsidR="007D5B55">
        <w:t xml:space="preserve">eal) or traveling a partial </w:t>
      </w:r>
      <w:r w:rsidR="00702513">
        <w:t>day.</w:t>
      </w:r>
    </w:p>
    <w:p w:rsidR="002A01D2" w:rsidRDefault="002A01D2" w:rsidP="002A01D2">
      <w:pPr>
        <w:pStyle w:val="ListParagraph"/>
        <w:numPr>
          <w:ilvl w:val="0"/>
          <w:numId w:val="29"/>
        </w:numPr>
      </w:pPr>
      <w:r w:rsidRPr="000C1C3B">
        <w:t>Breakfast 20%</w:t>
      </w:r>
    </w:p>
    <w:p w:rsidR="000369CB" w:rsidRDefault="000369CB" w:rsidP="000369CB">
      <w:pPr>
        <w:pStyle w:val="ListParagraph"/>
        <w:numPr>
          <w:ilvl w:val="1"/>
          <w:numId w:val="29"/>
        </w:numPr>
      </w:pPr>
      <w:r>
        <w:t>Domestic $9, international $11</w:t>
      </w:r>
    </w:p>
    <w:p w:rsidR="002A01D2" w:rsidRDefault="002A01D2" w:rsidP="002A01D2">
      <w:pPr>
        <w:pStyle w:val="ListParagraph"/>
        <w:numPr>
          <w:ilvl w:val="0"/>
          <w:numId w:val="29"/>
        </w:numPr>
      </w:pPr>
      <w:r w:rsidRPr="000C1C3B">
        <w:t>Lunch 20%</w:t>
      </w:r>
    </w:p>
    <w:p w:rsidR="000369CB" w:rsidRDefault="000369CB" w:rsidP="000369CB">
      <w:pPr>
        <w:pStyle w:val="ListParagraph"/>
        <w:numPr>
          <w:ilvl w:val="1"/>
          <w:numId w:val="29"/>
        </w:numPr>
      </w:pPr>
      <w:r>
        <w:t>Domestic $9, international $11</w:t>
      </w:r>
    </w:p>
    <w:p w:rsidR="002A01D2" w:rsidRPr="000369CB" w:rsidRDefault="000369CB" w:rsidP="002A01D2">
      <w:pPr>
        <w:pStyle w:val="ListParagraph"/>
        <w:numPr>
          <w:ilvl w:val="0"/>
          <w:numId w:val="29"/>
        </w:numPr>
        <w:rPr>
          <w:rFonts w:ascii="Times New Roman" w:eastAsia="Times New Roman" w:hAnsi="Times New Roman" w:cs="Times New Roman"/>
          <w:sz w:val="24"/>
          <w:szCs w:val="24"/>
        </w:rPr>
      </w:pPr>
      <w:r>
        <w:t>Dinner 50%</w:t>
      </w:r>
    </w:p>
    <w:p w:rsidR="000369CB" w:rsidRPr="000369CB" w:rsidRDefault="000369CB" w:rsidP="000369CB">
      <w:pPr>
        <w:pStyle w:val="ListParagraph"/>
        <w:numPr>
          <w:ilvl w:val="1"/>
          <w:numId w:val="29"/>
        </w:numPr>
      </w:pPr>
      <w:r>
        <w:t>Domestic $22.50, international $27.50</w:t>
      </w:r>
    </w:p>
    <w:p w:rsidR="00702513" w:rsidRDefault="002A01D2" w:rsidP="002A01D2">
      <w:pPr>
        <w:pStyle w:val="Heading4"/>
      </w:pPr>
      <w:r>
        <w:t>Meals While Traveling – Actual Costs</w:t>
      </w:r>
    </w:p>
    <w:p w:rsidR="002A01D2" w:rsidRDefault="002A01D2" w:rsidP="002A01D2">
      <w:r w:rsidRPr="00DE18C8">
        <w:t xml:space="preserve">In most cases, when submitting receipts for actual costs, </w:t>
      </w:r>
      <w:r w:rsidRPr="002A01D2">
        <w:rPr>
          <w:i/>
          <w:u w:val="single"/>
        </w:rPr>
        <w:t>the total meal and incidental expense for the day</w:t>
      </w:r>
      <w:r w:rsidRPr="00DE18C8">
        <w:t xml:space="preserve"> should </w:t>
      </w:r>
      <w:r w:rsidRPr="002A01D2">
        <w:rPr>
          <w:i/>
        </w:rPr>
        <w:t>not</w:t>
      </w:r>
      <w:r w:rsidRPr="00DE18C8">
        <w:t xml:space="preserve"> exceed</w:t>
      </w:r>
      <w:r>
        <w:t>:</w:t>
      </w:r>
    </w:p>
    <w:p w:rsidR="002A01D2" w:rsidRDefault="002A01D2" w:rsidP="002A01D2">
      <w:pPr>
        <w:pStyle w:val="ListParagraph"/>
        <w:numPr>
          <w:ilvl w:val="0"/>
          <w:numId w:val="31"/>
        </w:numPr>
      </w:pPr>
      <w:r>
        <w:lastRenderedPageBreak/>
        <w:t>D</w:t>
      </w:r>
      <w:r w:rsidRPr="00DE18C8">
        <w:t xml:space="preserve">omestic travel </w:t>
      </w:r>
      <w:r>
        <w:t>$75 per day</w:t>
      </w:r>
    </w:p>
    <w:p w:rsidR="002A01D2" w:rsidRDefault="002A01D2" w:rsidP="002A01D2">
      <w:pPr>
        <w:pStyle w:val="ListParagraph"/>
        <w:numPr>
          <w:ilvl w:val="0"/>
          <w:numId w:val="31"/>
        </w:numPr>
      </w:pPr>
      <w:r>
        <w:t>I</w:t>
      </w:r>
      <w:r w:rsidRPr="00DE18C8">
        <w:t>nternational travel</w:t>
      </w:r>
      <w:r>
        <w:t xml:space="preserve"> $100 per day</w:t>
      </w:r>
    </w:p>
    <w:p w:rsidR="007E11C4" w:rsidRDefault="007E11C4" w:rsidP="007E11C4">
      <w:pPr>
        <w:pStyle w:val="Heading6"/>
        <w:pBdr>
          <w:top w:val="single" w:sz="4" w:space="1" w:color="auto"/>
          <w:bottom w:val="single" w:sz="4" w:space="1" w:color="auto"/>
        </w:pBdr>
      </w:pPr>
      <w:r>
        <w:t>Documentation – Meals – Actual Costs</w:t>
      </w:r>
    </w:p>
    <w:p w:rsidR="002A01D2" w:rsidRDefault="007D5B55" w:rsidP="002A01D2">
      <w:r>
        <w:t>Itemized</w:t>
      </w:r>
      <w:r w:rsidR="002A01D2" w:rsidRPr="00DE18C8">
        <w:t xml:space="preserve"> receipts indicating all food and beverages purchased over $25.00 are required</w:t>
      </w:r>
    </w:p>
    <w:p w:rsidR="002A01D2" w:rsidRPr="00DE18C8" w:rsidRDefault="002A01D2" w:rsidP="002A01D2">
      <w:pPr>
        <w:rPr>
          <w:rFonts w:ascii="Times New Roman" w:hAnsi="Times New Roman"/>
        </w:rPr>
      </w:pPr>
      <w:r w:rsidRPr="00DE18C8">
        <w:t>In cases of reimbursement requests for business meals for others (e.g. additional guests) reimbursement will be</w:t>
      </w:r>
      <w:r>
        <w:t xml:space="preserve"> made on the actual cost basis.</w:t>
      </w:r>
      <w:r w:rsidRPr="00DE18C8">
        <w:t xml:space="preserve"> Documentation (noted on receipt) must include the name(s) of those at the meal and the</w:t>
      </w:r>
      <w:r>
        <w:t xml:space="preserve"> business purpose of the meal.</w:t>
      </w:r>
    </w:p>
    <w:p w:rsidR="00300EE2" w:rsidRDefault="00A94FB9" w:rsidP="002A01D2">
      <w:pPr>
        <w:pStyle w:val="Heading4"/>
      </w:pPr>
      <w:r>
        <w:t>Alcoholic Beverages</w:t>
      </w:r>
    </w:p>
    <w:p w:rsidR="00A94FB9" w:rsidRDefault="000C1C3B" w:rsidP="00A94FB9">
      <w:r w:rsidRPr="00DE18C8">
        <w:t xml:space="preserve">One alcoholic beverage </w:t>
      </w:r>
      <w:r w:rsidR="00D65BD9" w:rsidRPr="00DE18C8">
        <w:t xml:space="preserve">per individual </w:t>
      </w:r>
      <w:r w:rsidRPr="00DE18C8">
        <w:t>during a meal is a reimbursable expense.</w:t>
      </w:r>
    </w:p>
    <w:p w:rsidR="00A94FB9" w:rsidRDefault="005B05DC" w:rsidP="00A94FB9">
      <w:r>
        <w:t>One bottle of wine, not exceeding $50, may replace the individual drinks of four or more people.</w:t>
      </w:r>
    </w:p>
    <w:p w:rsidR="000C1C3B" w:rsidRDefault="005D00DD" w:rsidP="00A94FB9">
      <w:r>
        <w:t>D</w:t>
      </w:r>
      <w:r w:rsidR="00A94FB9" w:rsidRPr="00DE18C8">
        <w:t>rinks that are not associated with a meal</w:t>
      </w:r>
      <w:r>
        <w:t xml:space="preserve">, </w:t>
      </w:r>
      <w:r w:rsidR="00A94FB9" w:rsidRPr="00DE18C8">
        <w:t xml:space="preserve">or drinks taken at a bar </w:t>
      </w:r>
      <w:r>
        <w:t xml:space="preserve">are not </w:t>
      </w:r>
      <w:r w:rsidR="00250984" w:rsidRPr="00DE18C8">
        <w:t>reimbursa</w:t>
      </w:r>
      <w:r w:rsidR="00250984">
        <w:t>ble</w:t>
      </w:r>
      <w:r w:rsidR="00A94FB9" w:rsidRPr="00DE18C8">
        <w:t>.</w:t>
      </w:r>
    </w:p>
    <w:p w:rsidR="000C1C3B" w:rsidRPr="000C1C3B" w:rsidRDefault="000C1C3B" w:rsidP="000C1C3B">
      <w:pPr>
        <w:rPr>
          <w:rFonts w:ascii="Times New Roman" w:hAnsi="Times New Roman"/>
          <w:i/>
        </w:rPr>
      </w:pPr>
      <w:r w:rsidRPr="000C1C3B">
        <w:rPr>
          <w:i/>
        </w:rPr>
        <w:t>Federal regulations prohibit reimbursement for the purchase of alcoholic beverages with federal funds.</w:t>
      </w:r>
    </w:p>
    <w:p w:rsidR="00D70D96" w:rsidRPr="00DE18C8" w:rsidRDefault="00D70D96" w:rsidP="002A01D2">
      <w:pPr>
        <w:pStyle w:val="Heading4"/>
        <w:rPr>
          <w:rFonts w:ascii="Times New Roman" w:hAnsi="Times New Roman"/>
        </w:rPr>
      </w:pPr>
      <w:r w:rsidRPr="00DE18C8">
        <w:t>Tips and Gratuities</w:t>
      </w:r>
    </w:p>
    <w:p w:rsidR="00D70D96" w:rsidRDefault="00D70D96" w:rsidP="00D70D96">
      <w:r w:rsidRPr="00DE18C8">
        <w:t>The College will not reimburse for gratuities that are greater than the accepted standards.</w:t>
      </w:r>
    </w:p>
    <w:p w:rsidR="00D70D96" w:rsidRDefault="00D70D96" w:rsidP="00D70D96">
      <w:r w:rsidRPr="00DE18C8">
        <w:t>Currently, the domestic standard is 15-20% of the total bill; international stan</w:t>
      </w:r>
      <w:r>
        <w:t>dards may vary.</w:t>
      </w:r>
    </w:p>
    <w:p w:rsidR="00D70D96" w:rsidRPr="00DE18C8" w:rsidRDefault="00D70D96" w:rsidP="00D70D96">
      <w:pPr>
        <w:rPr>
          <w:rFonts w:ascii="Times New Roman" w:hAnsi="Times New Roman"/>
        </w:rPr>
      </w:pPr>
      <w:r w:rsidRPr="00DE18C8">
        <w:t>Recommended amounts</w:t>
      </w:r>
      <w:r>
        <w:t xml:space="preserve"> by category are listed below.</w:t>
      </w:r>
    </w:p>
    <w:p w:rsidR="00D70D96" w:rsidRPr="00083AF7" w:rsidRDefault="00D70D96" w:rsidP="00D70D96">
      <w:pPr>
        <w:pStyle w:val="ListParagraph"/>
        <w:numPr>
          <w:ilvl w:val="0"/>
          <w:numId w:val="32"/>
        </w:numPr>
        <w:rPr>
          <w:rFonts w:ascii="Arial" w:hAnsi="Arial" w:cs="Arial"/>
        </w:rPr>
      </w:pPr>
      <w:r w:rsidRPr="00083AF7">
        <w:rPr>
          <w:rFonts w:cs="Arial"/>
        </w:rPr>
        <w:t>Foreign countries</w:t>
      </w:r>
      <w:r>
        <w:rPr>
          <w:rFonts w:cs="Arial"/>
        </w:rPr>
        <w:br/>
      </w:r>
      <w:r w:rsidRPr="00083AF7">
        <w:rPr>
          <w:rFonts w:cs="Arial"/>
        </w:rPr>
        <w:t>tipping is not common and in some countries is considered rude</w:t>
      </w:r>
      <w:r>
        <w:rPr>
          <w:rFonts w:cs="Arial"/>
        </w:rPr>
        <w:t>, please research prior to traveling</w:t>
      </w:r>
    </w:p>
    <w:p w:rsidR="00D70D96" w:rsidRPr="00083AF7" w:rsidRDefault="00D70D96" w:rsidP="00D70D96">
      <w:pPr>
        <w:pStyle w:val="ListParagraph"/>
        <w:numPr>
          <w:ilvl w:val="0"/>
          <w:numId w:val="32"/>
        </w:numPr>
        <w:rPr>
          <w:rFonts w:ascii="Arial" w:hAnsi="Arial" w:cs="Arial"/>
        </w:rPr>
      </w:pPr>
      <w:r w:rsidRPr="00083AF7">
        <w:rPr>
          <w:rFonts w:cs="Arial"/>
        </w:rPr>
        <w:t xml:space="preserve">Sit-down restaurants – a </w:t>
      </w:r>
      <w:r w:rsidRPr="002A01D2">
        <w:rPr>
          <w:rFonts w:cs="Arial"/>
          <w:i/>
        </w:rPr>
        <w:t>pre-tax</w:t>
      </w:r>
      <w:r w:rsidRPr="00083AF7">
        <w:rPr>
          <w:rFonts w:cs="Arial"/>
        </w:rPr>
        <w:t xml:space="preserve"> tip of 15% to 20%</w:t>
      </w:r>
    </w:p>
    <w:p w:rsidR="00D70D96" w:rsidRPr="00083AF7" w:rsidRDefault="00D70D96" w:rsidP="00D70D96">
      <w:pPr>
        <w:pStyle w:val="ListParagraph"/>
        <w:numPr>
          <w:ilvl w:val="0"/>
          <w:numId w:val="32"/>
        </w:numPr>
        <w:rPr>
          <w:rFonts w:ascii="Arial" w:hAnsi="Arial" w:cs="Arial"/>
        </w:rPr>
      </w:pPr>
      <w:r w:rsidRPr="00083AF7">
        <w:rPr>
          <w:rFonts w:cs="Arial"/>
        </w:rPr>
        <w:t>Delivery – a pre-tax tip of 10%</w:t>
      </w:r>
    </w:p>
    <w:p w:rsidR="00D70D96" w:rsidRPr="00083AF7" w:rsidRDefault="00D70D96" w:rsidP="00D70D96">
      <w:pPr>
        <w:pStyle w:val="ListParagraph"/>
        <w:numPr>
          <w:ilvl w:val="0"/>
          <w:numId w:val="32"/>
        </w:numPr>
        <w:rPr>
          <w:rFonts w:ascii="Arial" w:hAnsi="Arial" w:cs="Arial"/>
        </w:rPr>
      </w:pPr>
      <w:r w:rsidRPr="00083AF7">
        <w:rPr>
          <w:rFonts w:cs="Arial"/>
        </w:rPr>
        <w:t>Takeout w</w:t>
      </w:r>
      <w:r w:rsidR="002A01D2">
        <w:rPr>
          <w:rFonts w:cs="Arial"/>
        </w:rPr>
        <w:t>h</w:t>
      </w:r>
      <w:r w:rsidRPr="00083AF7">
        <w:rPr>
          <w:rFonts w:cs="Arial"/>
        </w:rPr>
        <w:t>ere someone in your party picks up the meal – no tip recommended</w:t>
      </w:r>
    </w:p>
    <w:p w:rsidR="00D70D96" w:rsidRPr="00083AF7" w:rsidRDefault="00D70D96" w:rsidP="00D70D96">
      <w:pPr>
        <w:pStyle w:val="ListParagraph"/>
        <w:numPr>
          <w:ilvl w:val="0"/>
          <w:numId w:val="32"/>
        </w:numPr>
        <w:rPr>
          <w:rFonts w:ascii="Arial" w:hAnsi="Arial" w:cs="Arial"/>
        </w:rPr>
      </w:pPr>
      <w:r w:rsidRPr="00083AF7">
        <w:rPr>
          <w:rFonts w:cs="Arial"/>
        </w:rPr>
        <w:t xml:space="preserve">Hotels </w:t>
      </w:r>
      <w:r w:rsidR="00044907">
        <w:rPr>
          <w:rFonts w:cs="Arial"/>
        </w:rPr>
        <w:t xml:space="preserve">housekeeping </w:t>
      </w:r>
      <w:r w:rsidRPr="00083AF7">
        <w:rPr>
          <w:rFonts w:cs="Arial"/>
        </w:rPr>
        <w:t>between $2-$5</w:t>
      </w:r>
      <w:r>
        <w:rPr>
          <w:rFonts w:cs="Arial"/>
        </w:rPr>
        <w:t xml:space="preserve"> per </w:t>
      </w:r>
      <w:r w:rsidRPr="00083AF7">
        <w:rPr>
          <w:rFonts w:cs="Arial"/>
        </w:rPr>
        <w:t>night</w:t>
      </w:r>
    </w:p>
    <w:p w:rsidR="00D70D96" w:rsidRPr="00083AF7" w:rsidRDefault="00D70D96" w:rsidP="00D70D96">
      <w:pPr>
        <w:pStyle w:val="ListParagraph"/>
        <w:numPr>
          <w:ilvl w:val="0"/>
          <w:numId w:val="32"/>
        </w:numPr>
        <w:rPr>
          <w:rFonts w:ascii="Arial" w:hAnsi="Arial" w:cs="Arial"/>
        </w:rPr>
      </w:pPr>
      <w:r w:rsidRPr="00083AF7">
        <w:rPr>
          <w:rFonts w:cs="Arial"/>
        </w:rPr>
        <w:t>Bed and Breakfast</w:t>
      </w:r>
      <w:r>
        <w:rPr>
          <w:rFonts w:cs="Arial"/>
        </w:rPr>
        <w:br/>
      </w:r>
      <w:r w:rsidRPr="00083AF7">
        <w:rPr>
          <w:rFonts w:cs="Arial"/>
        </w:rPr>
        <w:t xml:space="preserve">many have a no tipping policy but if allowable use the standard hotel </w:t>
      </w:r>
      <w:r w:rsidR="007D5B55">
        <w:rPr>
          <w:rFonts w:cs="Arial"/>
        </w:rPr>
        <w:t>housekeeping rate</w:t>
      </w:r>
      <w:r w:rsidRPr="00083AF7">
        <w:rPr>
          <w:rFonts w:cs="Arial"/>
        </w:rPr>
        <w:t>.</w:t>
      </w:r>
    </w:p>
    <w:p w:rsidR="00D70D96" w:rsidRPr="00083AF7" w:rsidRDefault="00D70D96" w:rsidP="00D70D96">
      <w:pPr>
        <w:pStyle w:val="ListParagraph"/>
        <w:numPr>
          <w:ilvl w:val="0"/>
          <w:numId w:val="32"/>
        </w:numPr>
        <w:rPr>
          <w:rFonts w:ascii="Arial" w:hAnsi="Arial" w:cs="Arial"/>
        </w:rPr>
      </w:pPr>
      <w:r w:rsidRPr="00083AF7">
        <w:rPr>
          <w:rFonts w:cs="Arial"/>
        </w:rPr>
        <w:t>Courtesy Shuttle Driver - $1-$2</w:t>
      </w:r>
      <w:r>
        <w:rPr>
          <w:rFonts w:cs="Arial"/>
        </w:rPr>
        <w:t xml:space="preserve"> </w:t>
      </w:r>
      <w:r w:rsidRPr="00083AF7">
        <w:rPr>
          <w:rFonts w:cs="Arial"/>
        </w:rPr>
        <w:t>per person</w:t>
      </w:r>
    </w:p>
    <w:p w:rsidR="00D70D96" w:rsidRPr="007D5B55" w:rsidRDefault="00D70D96" w:rsidP="00D70D96">
      <w:pPr>
        <w:pStyle w:val="ListParagraph"/>
        <w:numPr>
          <w:ilvl w:val="0"/>
          <w:numId w:val="32"/>
        </w:numPr>
        <w:rPr>
          <w:rFonts w:ascii="Times New Roman" w:hAnsi="Times New Roman"/>
        </w:rPr>
      </w:pPr>
      <w:r w:rsidRPr="007D5B55">
        <w:rPr>
          <w:rFonts w:cs="Arial"/>
        </w:rPr>
        <w:t xml:space="preserve">Limousine </w:t>
      </w:r>
      <w:r w:rsidR="00EC0DC8" w:rsidRPr="007D5B55">
        <w:rPr>
          <w:rFonts w:cs="Arial"/>
        </w:rPr>
        <w:t xml:space="preserve">or taxi </w:t>
      </w:r>
      <w:r w:rsidRPr="007D5B55">
        <w:rPr>
          <w:rFonts w:cs="Arial"/>
        </w:rPr>
        <w:t>Driver – 10% to 15% of total fare</w:t>
      </w:r>
    </w:p>
    <w:p w:rsidR="00EC0DC8" w:rsidRPr="007D5B55" w:rsidRDefault="00EC0DC8" w:rsidP="00D70D96">
      <w:pPr>
        <w:pStyle w:val="ListParagraph"/>
        <w:numPr>
          <w:ilvl w:val="0"/>
          <w:numId w:val="32"/>
        </w:numPr>
        <w:rPr>
          <w:rFonts w:ascii="Times New Roman" w:hAnsi="Times New Roman"/>
        </w:rPr>
      </w:pPr>
      <w:r w:rsidRPr="007D5B55">
        <w:rPr>
          <w:rFonts w:cs="Arial"/>
        </w:rPr>
        <w:t>Lyft, Uber and other sim</w:t>
      </w:r>
      <w:r w:rsidR="007D5B55" w:rsidRPr="007D5B55">
        <w:rPr>
          <w:rFonts w:cs="Arial"/>
        </w:rPr>
        <w:t xml:space="preserve">ilar forms </w:t>
      </w:r>
      <w:r w:rsidRPr="007D5B55">
        <w:rPr>
          <w:rFonts w:cs="Arial"/>
        </w:rPr>
        <w:t>of ride share should be tipped at 10% to 15% of the total fare</w:t>
      </w:r>
    </w:p>
    <w:p w:rsidR="00A56C46" w:rsidRPr="00A56C46" w:rsidRDefault="00A56C46" w:rsidP="00D70D96">
      <w:pPr>
        <w:pStyle w:val="ListParagraph"/>
        <w:numPr>
          <w:ilvl w:val="0"/>
          <w:numId w:val="32"/>
        </w:numPr>
        <w:rPr>
          <w:rFonts w:ascii="Times New Roman" w:hAnsi="Times New Roman"/>
        </w:rPr>
      </w:pPr>
      <w:r>
        <w:rPr>
          <w:rFonts w:cs="Arial"/>
        </w:rPr>
        <w:t>Baggage Handling or storage</w:t>
      </w:r>
      <w:r w:rsidR="004472B4">
        <w:rPr>
          <w:rFonts w:cs="Arial"/>
        </w:rPr>
        <w:t xml:space="preserve"> – between $1 - $2 per bag</w:t>
      </w:r>
    </w:p>
    <w:bookmarkStart w:id="31" w:name="_Meals_While_Traveling"/>
    <w:bookmarkStart w:id="32" w:name="_Business_Entertainment"/>
    <w:bookmarkEnd w:id="31"/>
    <w:bookmarkEnd w:id="32"/>
    <w:p w:rsidR="00B134B4" w:rsidRPr="00DE18C8" w:rsidRDefault="007C79CD" w:rsidP="00770E9C">
      <w:pPr>
        <w:pStyle w:val="Heading2"/>
        <w:rPr>
          <w:rFonts w:ascii="Times New Roman" w:eastAsia="Times New Roman" w:hAnsi="Times New Roman"/>
        </w:rPr>
      </w:pPr>
      <w:r>
        <w:rPr>
          <w:rFonts w:eastAsia="Times New Roman"/>
        </w:rPr>
        <w:fldChar w:fldCharType="begin"/>
      </w:r>
      <w:r>
        <w:rPr>
          <w:rFonts w:eastAsia="Times New Roman"/>
        </w:rPr>
        <w:instrText xml:space="preserve"> HYPERLINK "https://www.mtholyoke.edu/financial/travel_reimb/entertainment" </w:instrText>
      </w:r>
      <w:r>
        <w:rPr>
          <w:rFonts w:eastAsia="Times New Roman"/>
        </w:rPr>
      </w:r>
      <w:r>
        <w:rPr>
          <w:rFonts w:eastAsia="Times New Roman"/>
        </w:rPr>
        <w:fldChar w:fldCharType="separate"/>
      </w:r>
      <w:bookmarkStart w:id="33" w:name="_Toc17984661"/>
      <w:r w:rsidR="00B134B4" w:rsidRPr="007C79CD">
        <w:rPr>
          <w:rStyle w:val="Hyperlink"/>
          <w:rFonts w:eastAsia="Times New Roman"/>
        </w:rPr>
        <w:t>Business Entertainment</w:t>
      </w:r>
      <w:bookmarkEnd w:id="33"/>
      <w:r>
        <w:rPr>
          <w:rFonts w:eastAsia="Times New Roman"/>
        </w:rPr>
        <w:fldChar w:fldCharType="end"/>
      </w:r>
    </w:p>
    <w:p w:rsidR="002D1C4E" w:rsidRPr="00083AF7" w:rsidRDefault="002D1C4E" w:rsidP="002D1C4E">
      <w:pPr>
        <w:pStyle w:val="Heading4"/>
        <w:rPr>
          <w:rFonts w:ascii="Times New Roman" w:hAnsi="Times New Roman"/>
        </w:rPr>
      </w:pPr>
      <w:r w:rsidRPr="00083AF7">
        <w:t xml:space="preserve">Meals </w:t>
      </w:r>
      <w:r>
        <w:t xml:space="preserve">and </w:t>
      </w:r>
      <w:r w:rsidRPr="00083AF7">
        <w:t>Alcohol – Local</w:t>
      </w:r>
    </w:p>
    <w:p w:rsidR="002D1C4E" w:rsidRDefault="002D1C4E" w:rsidP="002D1C4E">
      <w:r w:rsidRPr="00083AF7">
        <w:t>IRS regulations do not allow for the reimbursement of meal charges incurred by employees who are not traveling away from home (i.e., their travel does not require an overnight stay) unless the criteria below are met and there is a clear benefit to the College.</w:t>
      </w:r>
      <w:r>
        <w:t xml:space="preserve"> </w:t>
      </w:r>
    </w:p>
    <w:p w:rsidR="00250984" w:rsidRPr="00083AF7" w:rsidRDefault="00250984" w:rsidP="00250984">
      <w:r w:rsidRPr="00083AF7">
        <w:t xml:space="preserve">Since the primary purpose of such meetings is to conduct business that would otherwise be done at the office, </w:t>
      </w:r>
      <w:r w:rsidRPr="00083AF7">
        <w:rPr>
          <w:i/>
        </w:rPr>
        <w:t>there is no reimbursement for alcoholic beverages</w:t>
      </w:r>
      <w:r w:rsidRPr="00083AF7">
        <w:t>. Similarly, alcoholic beverages as part of a departmental meeting are not reimbursable. Lunches with Mount Holyoke College colleagues are not reimbursable even if business is discussed in the course of the meal.</w:t>
      </w:r>
    </w:p>
    <w:p w:rsidR="002D1C4E" w:rsidRDefault="002D1C4E" w:rsidP="002D1C4E">
      <w:r w:rsidRPr="00083AF7">
        <w:t>Business meals not associated with travel</w:t>
      </w:r>
      <w:r>
        <w:t xml:space="preserve"> </w:t>
      </w:r>
      <w:r w:rsidRPr="00083AF7">
        <w:t>are reimbursable to the extent that they are events necessary to conduct college business.</w:t>
      </w:r>
      <w:r>
        <w:t xml:space="preserve"> </w:t>
      </w:r>
      <w:r w:rsidRPr="00083AF7">
        <w:t>In cases where College employees meet over a meal when they are not traveling, the cost of the meal is considered a non-reimbursable personal expense unless:</w:t>
      </w:r>
    </w:p>
    <w:p w:rsidR="002D1C4E" w:rsidRPr="002D1C4E" w:rsidRDefault="002D1C4E" w:rsidP="002D1C4E">
      <w:pPr>
        <w:pStyle w:val="ListParagraph"/>
        <w:numPr>
          <w:ilvl w:val="0"/>
          <w:numId w:val="44"/>
        </w:numPr>
        <w:rPr>
          <w:rFonts w:ascii="Times New Roman" w:hAnsi="Times New Roman"/>
        </w:rPr>
      </w:pPr>
      <w:r w:rsidRPr="00083AF7">
        <w:lastRenderedPageBreak/>
        <w:t>the primary purpose of the meeting is to conduct business</w:t>
      </w:r>
    </w:p>
    <w:p w:rsidR="002D1C4E" w:rsidRPr="00A40D31" w:rsidRDefault="002D1C4E" w:rsidP="002D1C4E">
      <w:pPr>
        <w:pStyle w:val="ListParagraph"/>
        <w:numPr>
          <w:ilvl w:val="0"/>
          <w:numId w:val="44"/>
        </w:numPr>
        <w:rPr>
          <w:rFonts w:ascii="Times New Roman" w:hAnsi="Times New Roman"/>
        </w:rPr>
      </w:pPr>
      <w:r w:rsidRPr="00083AF7">
        <w:t xml:space="preserve">there is a </w:t>
      </w:r>
      <w:r w:rsidRPr="00205EF9">
        <w:t>clear</w:t>
      </w:r>
      <w:r w:rsidR="00205EF9">
        <w:t xml:space="preserve"> and compelling</w:t>
      </w:r>
      <w:r w:rsidRPr="00205EF9">
        <w:t xml:space="preserve"> reason</w:t>
      </w:r>
      <w:r w:rsidRPr="00083AF7">
        <w:t xml:space="preserve"> to meet</w:t>
      </w:r>
      <w:r>
        <w:t xml:space="preserve"> outside the office over a meal</w:t>
      </w:r>
    </w:p>
    <w:p w:rsidR="00A40D31" w:rsidRPr="00A40D31" w:rsidRDefault="00A40D31" w:rsidP="00A40D31"/>
    <w:p w:rsidR="002D1C4E" w:rsidRPr="00B134B4" w:rsidRDefault="002D1C4E" w:rsidP="002D1C4E">
      <w:pPr>
        <w:pStyle w:val="Heading4"/>
      </w:pPr>
      <w:r>
        <w:t>What is reimbursable</w:t>
      </w:r>
    </w:p>
    <w:p w:rsidR="002D1C4E" w:rsidRPr="00B134B4" w:rsidRDefault="002D1C4E" w:rsidP="002D1C4E">
      <w:pPr>
        <w:pStyle w:val="ListParagraph"/>
        <w:numPr>
          <w:ilvl w:val="0"/>
          <w:numId w:val="33"/>
        </w:numPr>
        <w:spacing w:before="120" w:after="120"/>
        <w:rPr>
          <w:rFonts w:ascii="Times New Roman" w:hAnsi="Times New Roman"/>
        </w:rPr>
      </w:pPr>
      <w:r>
        <w:t>M</w:t>
      </w:r>
      <w:r w:rsidRPr="00083AF7">
        <w:t xml:space="preserve">eals and one alcoholic drink </w:t>
      </w:r>
      <w:r w:rsidR="00B63423">
        <w:t xml:space="preserve">per person per meal </w:t>
      </w:r>
      <w:r w:rsidRPr="00083AF7">
        <w:t xml:space="preserve">are reimbursable when the meeting is part of an approved College-sponsored seminar, </w:t>
      </w:r>
      <w:r w:rsidR="00061AF0">
        <w:t xml:space="preserve">event, </w:t>
      </w:r>
      <w:r w:rsidRPr="00083AF7">
        <w:t>workshop, conference</w:t>
      </w:r>
      <w:r w:rsidR="00B63423">
        <w:t>, or meeting</w:t>
      </w:r>
      <w:r w:rsidRPr="00083AF7">
        <w:t>.</w:t>
      </w:r>
    </w:p>
    <w:p w:rsidR="002D1C4E" w:rsidRPr="00AE4B97" w:rsidRDefault="002D1C4E" w:rsidP="00143B63">
      <w:pPr>
        <w:pStyle w:val="ListParagraph"/>
        <w:numPr>
          <w:ilvl w:val="0"/>
          <w:numId w:val="33"/>
        </w:numPr>
        <w:spacing w:before="120" w:after="120"/>
        <w:rPr>
          <w:rFonts w:ascii="Times New Roman" w:hAnsi="Times New Roman"/>
        </w:rPr>
      </w:pPr>
      <w:r w:rsidRPr="00083AF7">
        <w:t>Dinners should not exceed $40.00</w:t>
      </w:r>
      <w:r>
        <w:t xml:space="preserve"> per </w:t>
      </w:r>
      <w:r w:rsidR="00AE4B97">
        <w:t>person, l</w:t>
      </w:r>
      <w:r w:rsidRPr="00083AF7">
        <w:t>unches should not exceed $20.00</w:t>
      </w:r>
      <w:r>
        <w:t xml:space="preserve"> per </w:t>
      </w:r>
      <w:r w:rsidRPr="00083AF7">
        <w:t>person.</w:t>
      </w:r>
      <w:r>
        <w:br/>
      </w:r>
      <w:r w:rsidRPr="00083AF7">
        <w:t xml:space="preserve">This dollar limit includes the alcohol allowed with the </w:t>
      </w:r>
      <w:r w:rsidR="00AE4B97">
        <w:t>meal</w:t>
      </w:r>
      <w:r w:rsidRPr="00083AF7">
        <w:t>.</w:t>
      </w:r>
    </w:p>
    <w:p w:rsidR="002D1C4E" w:rsidRPr="00B134B4" w:rsidRDefault="002D1C4E" w:rsidP="002D1C4E">
      <w:pPr>
        <w:pStyle w:val="ListParagraph"/>
        <w:numPr>
          <w:ilvl w:val="0"/>
          <w:numId w:val="33"/>
        </w:numPr>
        <w:spacing w:before="120" w:after="120"/>
        <w:rPr>
          <w:rFonts w:ascii="Times New Roman" w:hAnsi="Times New Roman"/>
        </w:rPr>
      </w:pPr>
      <w:r>
        <w:t>M</w:t>
      </w:r>
      <w:r w:rsidRPr="00083AF7">
        <w:t>eals provided as part of a local conference off campus, seminar, workshop, presentation or other similar group meeting involving employees when it extends through the usual mealtime(s).</w:t>
      </w:r>
      <w:r>
        <w:t xml:space="preserve"> </w:t>
      </w:r>
      <w:r w:rsidRPr="00083AF7">
        <w:t>Such meals must be reasonable in relation to the nature and purpose of the event.</w:t>
      </w:r>
    </w:p>
    <w:p w:rsidR="002D1C4E" w:rsidRPr="00B134B4" w:rsidRDefault="002D1C4E" w:rsidP="002D1C4E">
      <w:pPr>
        <w:pStyle w:val="ListParagraph"/>
        <w:numPr>
          <w:ilvl w:val="0"/>
          <w:numId w:val="33"/>
        </w:numPr>
        <w:spacing w:before="120" w:after="120"/>
        <w:rPr>
          <w:rFonts w:ascii="Times New Roman" w:hAnsi="Times New Roman"/>
        </w:rPr>
      </w:pPr>
      <w:r w:rsidRPr="00083AF7">
        <w:t>One business meal to welcome a new employee to the College.</w:t>
      </w:r>
    </w:p>
    <w:p w:rsidR="002D1C4E" w:rsidRPr="002D1C4E" w:rsidRDefault="002D1C4E" w:rsidP="002D1C4E">
      <w:pPr>
        <w:pStyle w:val="ListParagraph"/>
        <w:numPr>
          <w:ilvl w:val="0"/>
          <w:numId w:val="33"/>
        </w:numPr>
        <w:spacing w:before="120" w:after="120"/>
        <w:rPr>
          <w:rFonts w:ascii="Times New Roman" w:hAnsi="Times New Roman"/>
        </w:rPr>
      </w:pPr>
      <w:r w:rsidRPr="00083AF7">
        <w:t>Business meal(s) that involve prospective faculty, pro</w:t>
      </w:r>
      <w:r>
        <w:t xml:space="preserve">spective employees or donors is </w:t>
      </w:r>
      <w:r w:rsidRPr="00083AF7">
        <w:t xml:space="preserve">considered </w:t>
      </w:r>
      <w:r w:rsidRPr="002D1C4E">
        <w:t>business entertainment and is reimbursable.</w:t>
      </w:r>
    </w:p>
    <w:p w:rsidR="002D1C4E" w:rsidRPr="00B134B4" w:rsidRDefault="002D1C4E" w:rsidP="002D1C4E">
      <w:pPr>
        <w:pStyle w:val="ListParagraph"/>
        <w:numPr>
          <w:ilvl w:val="0"/>
          <w:numId w:val="33"/>
        </w:numPr>
        <w:spacing w:before="120" w:after="120"/>
        <w:rPr>
          <w:rFonts w:ascii="Times New Roman" w:hAnsi="Times New Roman"/>
        </w:rPr>
      </w:pPr>
      <w:r w:rsidRPr="002D1C4E">
        <w:t>Business meal(s) that</w:t>
      </w:r>
      <w:r w:rsidRPr="00083AF7">
        <w:t xml:space="preserve"> involve consultants, or other persons with whom the College does business, or meetings of organizations and groups. </w:t>
      </w:r>
      <w:r>
        <w:br/>
      </w:r>
      <w:r w:rsidRPr="00083AF7">
        <w:t xml:space="preserve">One alcoholic beverage per person during such </w:t>
      </w:r>
      <w:r>
        <w:t>business meals is reimbursable.</w:t>
      </w:r>
    </w:p>
    <w:p w:rsidR="00024A34" w:rsidRDefault="00024A34" w:rsidP="00024A34">
      <w:pPr>
        <w:pStyle w:val="Heading6"/>
        <w:pBdr>
          <w:top w:val="single" w:sz="4" w:space="1" w:color="auto"/>
          <w:bottom w:val="single" w:sz="4" w:space="1" w:color="auto"/>
        </w:pBdr>
      </w:pPr>
      <w:r>
        <w:t>Documentation – Business Entertainment</w:t>
      </w:r>
    </w:p>
    <w:p w:rsidR="00024A34" w:rsidRDefault="00024A34" w:rsidP="00024A34">
      <w:r w:rsidRPr="00DE18C8">
        <w:t>All entertainment expenses m</w:t>
      </w:r>
      <w:r>
        <w:t>ust be substantiated in detail.</w:t>
      </w:r>
    </w:p>
    <w:p w:rsidR="00024A34" w:rsidRDefault="00024A34" w:rsidP="00024A34">
      <w:r w:rsidRPr="00DE18C8">
        <w:t>Original itemized receipts must be submitted for expenses $25.00 or greater.</w:t>
      </w:r>
    </w:p>
    <w:p w:rsidR="00024A34" w:rsidRDefault="00024A34" w:rsidP="00024A34">
      <w:r w:rsidRPr="00DE18C8">
        <w:t>Information should include:</w:t>
      </w:r>
    </w:p>
    <w:p w:rsidR="00024A34" w:rsidRPr="00B134B4" w:rsidRDefault="00024A34" w:rsidP="00024A34">
      <w:pPr>
        <w:pStyle w:val="ListParagraph"/>
        <w:numPr>
          <w:ilvl w:val="0"/>
          <w:numId w:val="34"/>
        </w:numPr>
        <w:rPr>
          <w:rFonts w:ascii="Arial" w:hAnsi="Arial" w:cs="Arial"/>
        </w:rPr>
      </w:pPr>
      <w:r>
        <w:rPr>
          <w:rFonts w:cs="Arial"/>
        </w:rPr>
        <w:t>W</w:t>
      </w:r>
      <w:r w:rsidRPr="00B134B4">
        <w:rPr>
          <w:rFonts w:cs="Arial"/>
        </w:rPr>
        <w:t>ho was entertained</w:t>
      </w:r>
    </w:p>
    <w:p w:rsidR="00024A34" w:rsidRPr="00724EC6" w:rsidRDefault="00024A34" w:rsidP="00881D1D">
      <w:pPr>
        <w:pStyle w:val="ListParagraph"/>
        <w:numPr>
          <w:ilvl w:val="0"/>
          <w:numId w:val="34"/>
        </w:numPr>
        <w:rPr>
          <w:rFonts w:ascii="Arial" w:hAnsi="Arial" w:cs="Arial"/>
        </w:rPr>
      </w:pPr>
      <w:r>
        <w:rPr>
          <w:rFonts w:cs="Arial"/>
        </w:rPr>
        <w:t>T</w:t>
      </w:r>
      <w:r w:rsidRPr="00B134B4">
        <w:rPr>
          <w:rFonts w:cs="Arial"/>
        </w:rPr>
        <w:t>heir College relationship</w:t>
      </w:r>
    </w:p>
    <w:p w:rsidR="00724EC6" w:rsidRPr="00B134B4" w:rsidRDefault="00724EC6" w:rsidP="00881D1D">
      <w:pPr>
        <w:pStyle w:val="ListParagraph"/>
        <w:numPr>
          <w:ilvl w:val="1"/>
          <w:numId w:val="34"/>
        </w:numPr>
        <w:rPr>
          <w:rFonts w:ascii="Arial" w:hAnsi="Arial" w:cs="Arial"/>
        </w:rPr>
      </w:pPr>
      <w:r>
        <w:rPr>
          <w:rFonts w:cs="Arial"/>
        </w:rPr>
        <w:t>If all attendees are College employees, please list the reason to meet outside the offices over a meal</w:t>
      </w:r>
    </w:p>
    <w:p w:rsidR="00024A34" w:rsidRPr="00B134B4" w:rsidRDefault="00024A34" w:rsidP="00024A34">
      <w:pPr>
        <w:pStyle w:val="ListParagraph"/>
        <w:numPr>
          <w:ilvl w:val="0"/>
          <w:numId w:val="34"/>
        </w:numPr>
        <w:rPr>
          <w:rFonts w:ascii="Arial" w:hAnsi="Arial" w:cs="Arial"/>
        </w:rPr>
      </w:pPr>
      <w:r>
        <w:rPr>
          <w:rFonts w:cs="Arial"/>
        </w:rPr>
        <w:t>W</w:t>
      </w:r>
      <w:r w:rsidRPr="00B134B4">
        <w:rPr>
          <w:rFonts w:cs="Arial"/>
        </w:rPr>
        <w:t>here the entertainment took place</w:t>
      </w:r>
    </w:p>
    <w:p w:rsidR="00724EC6" w:rsidRPr="00724EC6" w:rsidRDefault="00024A34" w:rsidP="00724EC6">
      <w:pPr>
        <w:pStyle w:val="ListParagraph"/>
        <w:numPr>
          <w:ilvl w:val="0"/>
          <w:numId w:val="34"/>
        </w:numPr>
        <w:rPr>
          <w:rFonts w:ascii="Arial" w:hAnsi="Arial" w:cs="Arial"/>
        </w:rPr>
      </w:pPr>
      <w:r>
        <w:rPr>
          <w:rFonts w:cs="Arial"/>
        </w:rPr>
        <w:t>T</w:t>
      </w:r>
      <w:r w:rsidRPr="00B134B4">
        <w:rPr>
          <w:rFonts w:cs="Arial"/>
        </w:rPr>
        <w:t>he business purpose of the event</w:t>
      </w:r>
    </w:p>
    <w:p w:rsidR="004F39AE" w:rsidRPr="00DE18C8" w:rsidRDefault="004F39AE" w:rsidP="004F39AE">
      <w:pPr>
        <w:pStyle w:val="Heading4"/>
        <w:rPr>
          <w:rFonts w:ascii="Times New Roman" w:hAnsi="Times New Roman"/>
        </w:rPr>
      </w:pPr>
      <w:r w:rsidRPr="00DE18C8">
        <w:t>Department Gathering/Holiday Gatherings (84260-0002)</w:t>
      </w:r>
    </w:p>
    <w:p w:rsidR="004F39AE" w:rsidRPr="00DE18C8" w:rsidRDefault="004F39AE" w:rsidP="004F39AE">
      <w:r w:rsidRPr="00DE18C8">
        <w:t>One annual office or department function is a covered expense. A nominal amount</w:t>
      </w:r>
      <w:r w:rsidR="002D1C4E">
        <w:t xml:space="preserve">, </w:t>
      </w:r>
      <w:r w:rsidRPr="00DE18C8">
        <w:t>$15 total per person</w:t>
      </w:r>
      <w:r w:rsidR="002D1C4E">
        <w:t xml:space="preserve">, </w:t>
      </w:r>
      <w:r w:rsidRPr="00DE18C8">
        <w:t>may be covered by a department budget. Gatherings that fall under this guideline include holiday gatherings, end of the semester and/or end of the year functions.</w:t>
      </w:r>
    </w:p>
    <w:p w:rsidR="004F39AE" w:rsidRPr="00DE18C8" w:rsidRDefault="004F39AE" w:rsidP="004F39AE">
      <w:pPr>
        <w:pStyle w:val="Heading4"/>
        <w:rPr>
          <w:rFonts w:ascii="Times New Roman" w:hAnsi="Times New Roman"/>
        </w:rPr>
      </w:pPr>
      <w:r w:rsidRPr="00DE18C8">
        <w:t>Department and Classroom Food, Drinks and Snacks</w:t>
      </w:r>
    </w:p>
    <w:p w:rsidR="002D1C4E" w:rsidRDefault="004F39AE" w:rsidP="004F39AE">
      <w:r w:rsidRPr="00DE18C8">
        <w:t>Coffee and tea supplies are a reimbursable expense for a department. Coffee and tea can be purchased through WB Mason</w:t>
      </w:r>
      <w:r w:rsidR="002D1C4E">
        <w:t>, or the current office supply vendor of record</w:t>
      </w:r>
      <w:r w:rsidRPr="00DE18C8">
        <w:t>.</w:t>
      </w:r>
      <w:r w:rsidR="00247943">
        <w:t xml:space="preserve"> To see the complete list, please visit </w:t>
      </w:r>
      <w:hyperlink r:id="rId35" w:history="1">
        <w:r w:rsidR="00247943" w:rsidRPr="00247943">
          <w:rPr>
            <w:rStyle w:val="Hyperlink"/>
          </w:rPr>
          <w:t>Preferred Supplier List and Discounts</w:t>
        </w:r>
      </w:hyperlink>
      <w:r w:rsidR="00247943">
        <w:t>.</w:t>
      </w:r>
    </w:p>
    <w:p w:rsidR="00E67F49" w:rsidRPr="00881D1D" w:rsidRDefault="00E67F49" w:rsidP="004F39AE">
      <w:r w:rsidRPr="00881D1D">
        <w:t>Faculty are permitted to purchase snacks/food for students. The maximum allowable expenditure per semester is $35.</w:t>
      </w:r>
    </w:p>
    <w:p w:rsidR="002D1C4E" w:rsidRPr="00DE18C8" w:rsidRDefault="002D1C4E" w:rsidP="002D1C4E">
      <w:pPr>
        <w:rPr>
          <w:rFonts w:ascii="Times New Roman" w:hAnsi="Times New Roman"/>
        </w:rPr>
      </w:pPr>
      <w:r w:rsidRPr="00DE18C8">
        <w:t>Department Candy and snacks purchased for the office are a personal expense and are not reimbursable.</w:t>
      </w:r>
    </w:p>
    <w:p w:rsidR="004F39AE" w:rsidRPr="00DE18C8" w:rsidRDefault="004F39AE" w:rsidP="004F39AE">
      <w:pPr>
        <w:pStyle w:val="Heading4"/>
        <w:rPr>
          <w:rFonts w:ascii="Times New Roman" w:hAnsi="Times New Roman"/>
        </w:rPr>
      </w:pPr>
      <w:r w:rsidRPr="00DE18C8">
        <w:t>Farewell Gatherings (84260-0001)</w:t>
      </w:r>
    </w:p>
    <w:p w:rsidR="004F39AE" w:rsidRPr="00DE18C8" w:rsidRDefault="004F39AE" w:rsidP="004F39AE">
      <w:pPr>
        <w:rPr>
          <w:rFonts w:ascii="Times New Roman" w:hAnsi="Times New Roman"/>
        </w:rPr>
      </w:pPr>
      <w:r w:rsidRPr="00DE18C8">
        <w:t xml:space="preserve">There are many ways in which members of the College community may wish to acknowledge the departure of a co-worker. In some cases there is also an institutional value in doing so. In those cases, </w:t>
      </w:r>
      <w:r w:rsidRPr="00DE18C8">
        <w:lastRenderedPageBreak/>
        <w:t>the use of College funds to support the event is appropriate. In general there are two kinds of events for which College funds are appropriately used.</w:t>
      </w:r>
    </w:p>
    <w:p w:rsidR="004F39AE" w:rsidRPr="000908F9" w:rsidRDefault="004F39AE" w:rsidP="004F39AE">
      <w:pPr>
        <w:pStyle w:val="ListParagraph"/>
        <w:numPr>
          <w:ilvl w:val="0"/>
          <w:numId w:val="35"/>
        </w:numPr>
        <w:rPr>
          <w:rFonts w:ascii="Times New Roman" w:hAnsi="Times New Roman"/>
        </w:rPr>
      </w:pPr>
      <w:r w:rsidRPr="00DE18C8">
        <w:t>The first is when the individual leaving has had a wide influence on the</w:t>
      </w:r>
      <w:r>
        <w:t xml:space="preserve"> </w:t>
      </w:r>
      <w:r w:rsidRPr="00DE18C8">
        <w:t>College and the farewell thus becomes a College event. Each division head is responsible for determining which farewell parties within the division fall into this category and for supporting them from his/her budget.</w:t>
      </w:r>
      <w:r>
        <w:br/>
      </w:r>
    </w:p>
    <w:p w:rsidR="004F39AE" w:rsidRPr="000908F9" w:rsidRDefault="004F39AE" w:rsidP="004F39AE">
      <w:pPr>
        <w:pStyle w:val="ListParagraph"/>
        <w:numPr>
          <w:ilvl w:val="0"/>
          <w:numId w:val="35"/>
        </w:numPr>
        <w:rPr>
          <w:rFonts w:ascii="Times New Roman" w:hAnsi="Times New Roman"/>
        </w:rPr>
      </w:pPr>
      <w:r w:rsidRPr="00DE18C8">
        <w:t>The second recognizes that there is also institutional value in providing opportunities for co-workers to say good-bye to colleagues whose contributions have been more localized. The objective is to provide this opportunity for as many co-workers as would wish to participate. The following guidelines apply to such events: the individual is leaving the College after a significant period of service (5 or more years generally); the gathering is generally available to interested co-workers and the amount of College funds used</w:t>
      </w:r>
      <w:r>
        <w:t xml:space="preserve"> is reasonable (up to $</w:t>
      </w:r>
      <w:r w:rsidR="007B4338">
        <w:t>5</w:t>
      </w:r>
      <w:r>
        <w:t>00.00).</w:t>
      </w:r>
    </w:p>
    <w:p w:rsidR="00B134B4" w:rsidRPr="00DE18C8" w:rsidRDefault="00DC0D5F" w:rsidP="00770E9C">
      <w:pPr>
        <w:pStyle w:val="Heading2"/>
        <w:rPr>
          <w:rFonts w:eastAsia="Times New Roman"/>
        </w:rPr>
      </w:pPr>
      <w:bookmarkStart w:id="34" w:name="_Toc17984662"/>
      <w:r>
        <w:t>Other Expenditures</w:t>
      </w:r>
      <w:bookmarkEnd w:id="34"/>
    </w:p>
    <w:p w:rsidR="00B134B4" w:rsidRDefault="00DC0D5F" w:rsidP="00C712B6">
      <w:pPr>
        <w:pStyle w:val="Heading4"/>
      </w:pPr>
      <w:r>
        <w:t>Gifts</w:t>
      </w:r>
    </w:p>
    <w:p w:rsidR="00DC0D5F" w:rsidRPr="00DE18C8" w:rsidRDefault="00DC0D5F" w:rsidP="00DC0D5F">
      <w:r w:rsidRPr="00DE18C8">
        <w:t xml:space="preserve">College funds may </w:t>
      </w:r>
      <w:r w:rsidRPr="0020090A">
        <w:rPr>
          <w:b/>
        </w:rPr>
        <w:t>not</w:t>
      </w:r>
      <w:r w:rsidRPr="00DE18C8">
        <w:t xml:space="preserve"> be used toward a gift for the individual, regardless of whether there is a College funded farewell or not. Only one farewell gathering per departing employee is a covered expense.</w:t>
      </w:r>
    </w:p>
    <w:p w:rsidR="00DC0D5F" w:rsidRPr="00DE18C8" w:rsidRDefault="00DC0D5F" w:rsidP="00DC0D5F">
      <w:r w:rsidRPr="00DE18C8">
        <w:t xml:space="preserve">Farewell gifts for graduating senior students are </w:t>
      </w:r>
      <w:r w:rsidRPr="0020090A">
        <w:rPr>
          <w:b/>
        </w:rPr>
        <w:t>not</w:t>
      </w:r>
      <w:r w:rsidRPr="00DE18C8">
        <w:t xml:space="preserve"> a covered expense.</w:t>
      </w:r>
    </w:p>
    <w:p w:rsidR="00DC0D5F" w:rsidRPr="00DE18C8" w:rsidRDefault="00DC0D5F" w:rsidP="00DC0D5F">
      <w:r w:rsidRPr="00DE18C8">
        <w:t>Gifts for students are not a reimbursable expense except for student worker appreciation week. A nominal $15</w:t>
      </w:r>
      <w:r w:rsidR="00C712B6">
        <w:t xml:space="preserve"> per student worker is allowed.</w:t>
      </w:r>
    </w:p>
    <w:p w:rsidR="00DC0D5F" w:rsidRPr="00DE18C8" w:rsidRDefault="00DC0D5F" w:rsidP="00C712B6">
      <w:pPr>
        <w:pStyle w:val="Heading4"/>
      </w:pPr>
      <w:bookmarkStart w:id="35" w:name="_Flowers_and_Recognition"/>
      <w:bookmarkEnd w:id="35"/>
      <w:r w:rsidRPr="00DE18C8">
        <w:t>Flowers and Recognition</w:t>
      </w:r>
    </w:p>
    <w:p w:rsidR="00DC0D5F" w:rsidRPr="00DE18C8" w:rsidRDefault="00DC0D5F" w:rsidP="00DC0D5F">
      <w:r w:rsidRPr="00DE18C8">
        <w:t>Flowers and balloons purchased as decorations for College sponsored events are a reimbursable expense, as are flowers and other recognition items given to</w:t>
      </w:r>
      <w:r w:rsidR="00F576B5">
        <w:t xml:space="preserve"> donors and potential donors </w:t>
      </w:r>
      <w:r w:rsidRPr="00DE18C8">
        <w:t>as part of the cultivation process.</w:t>
      </w:r>
      <w:r w:rsidR="00F576B5">
        <w:t xml:space="preserve"> Should you have questions whether your situation is applicable, please contact Financial Services.</w:t>
      </w:r>
    </w:p>
    <w:p w:rsidR="00C712B6" w:rsidRPr="00DE18C8" w:rsidRDefault="00C712B6" w:rsidP="00C712B6">
      <w:r w:rsidRPr="00DE18C8">
        <w:t>Flowers, balloons and like items given to a co-worker or student worker for birthday, wedding, illness, bereavement or similar events are not reimbursable and should be financed by employee collections within a department or by the individual s</w:t>
      </w:r>
      <w:r>
        <w:t>ending the flowers or balloons.</w:t>
      </w:r>
      <w:r w:rsidRPr="00DE18C8">
        <w:t xml:space="preserve"> </w:t>
      </w:r>
    </w:p>
    <w:p w:rsidR="00DC0D5F" w:rsidRPr="00DE18C8" w:rsidRDefault="00DC0D5F" w:rsidP="00DC0D5F">
      <w:r w:rsidRPr="00DE18C8">
        <w:t>Flowers may be sent at departmental expense if a current or retired employee dies, but it is not feasible for the College to recognize the death of every empl</w:t>
      </w:r>
      <w:r>
        <w:t>oyee's relatives with flowers.</w:t>
      </w:r>
    </w:p>
    <w:p w:rsidR="00C712B6" w:rsidRDefault="00C712B6" w:rsidP="00C712B6">
      <w:r w:rsidRPr="00DE18C8">
        <w:t>If Human Resources is notified of an employee illness, or of a birth or death in an employee's family, they will send a card on behalf of the College.</w:t>
      </w:r>
    </w:p>
    <w:p w:rsidR="00DC0D5F" w:rsidRPr="00DE18C8" w:rsidRDefault="00DC0D5F" w:rsidP="00C712B6">
      <w:pPr>
        <w:pStyle w:val="Heading4"/>
      </w:pPr>
      <w:r>
        <w:t>Promotions and Awards</w:t>
      </w:r>
    </w:p>
    <w:p w:rsidR="00056119" w:rsidRPr="00DE18C8" w:rsidRDefault="00023CE8" w:rsidP="00056119">
      <w:r>
        <w:t xml:space="preserve">Annual awards given </w:t>
      </w:r>
      <w:r w:rsidR="00FD5404">
        <w:t xml:space="preserve">in recognition of service or </w:t>
      </w:r>
      <w:r w:rsidR="00FD5404" w:rsidRPr="007311A6">
        <w:t xml:space="preserve">performance to faculty and staff are not a reimbursable expense, with the exception of annual </w:t>
      </w:r>
      <w:r w:rsidR="0079704A" w:rsidRPr="007311A6">
        <w:t xml:space="preserve">awards </w:t>
      </w:r>
      <w:r w:rsidR="00FD5404" w:rsidRPr="007311A6">
        <w:t>by</w:t>
      </w:r>
      <w:r w:rsidRPr="007311A6">
        <w:t xml:space="preserve"> the President’s Office, Dean of Faculty, </w:t>
      </w:r>
      <w:r w:rsidR="007311A6" w:rsidRPr="007311A6">
        <w:t>Human Resources</w:t>
      </w:r>
      <w:r w:rsidR="00FD5404" w:rsidRPr="007311A6">
        <w:t xml:space="preserve">. </w:t>
      </w:r>
      <w:r w:rsidRPr="007311A6">
        <w:t>Please contact Financial Services for additional details</w:t>
      </w:r>
      <w:r>
        <w:t xml:space="preserve">. </w:t>
      </w:r>
    </w:p>
    <w:p w:rsidR="00DC0D5F" w:rsidRPr="00DE18C8" w:rsidRDefault="00DC0D5F" w:rsidP="00C712B6">
      <w:pPr>
        <w:pStyle w:val="Heading4"/>
      </w:pPr>
      <w:r>
        <w:t>Service Performance Days</w:t>
      </w:r>
    </w:p>
    <w:p w:rsidR="00DC0D5F" w:rsidRPr="00DE18C8" w:rsidRDefault="00DC0D5F" w:rsidP="00056119">
      <w:r w:rsidRPr="00DE18C8">
        <w:t>College funds should not be used to celebrate various service performance days (e.g., Administrative Assistants Day). The College recognizes its employees' contributions through such events as Winterfest, departmental picnics and employee recognition programs and awards.</w:t>
      </w:r>
    </w:p>
    <w:p w:rsidR="00DC0D5F" w:rsidRPr="00DE18C8" w:rsidRDefault="00DC0D5F" w:rsidP="00C712B6">
      <w:pPr>
        <w:pStyle w:val="Heading4"/>
      </w:pPr>
      <w:r>
        <w:t>Other</w:t>
      </w:r>
    </w:p>
    <w:p w:rsidR="00DC0D5F" w:rsidRPr="00DE18C8" w:rsidRDefault="00DC0D5F" w:rsidP="00056119">
      <w:r w:rsidRPr="00DE18C8">
        <w:t>Other forms of recognition or appreciation, such as massage therapy, yoga, etc. are not reimbursable expenses, regardless of whether they are provided in the office, at a retreat or in another location.</w:t>
      </w:r>
    </w:p>
    <w:p w:rsidR="00BB1817" w:rsidRDefault="00BB1817" w:rsidP="005D786A">
      <w:r>
        <w:lastRenderedPageBreak/>
        <w:br w:type="page"/>
      </w:r>
    </w:p>
    <w:p w:rsidR="00DE18C8" w:rsidRPr="00DE18C8" w:rsidRDefault="00DE18C8" w:rsidP="00C712B6">
      <w:pPr>
        <w:pStyle w:val="Heading1"/>
        <w:rPr>
          <w:rFonts w:ascii="Times New Roman" w:hAnsi="Times New Roman"/>
          <w:sz w:val="27"/>
          <w:szCs w:val="27"/>
        </w:rPr>
      </w:pPr>
      <w:bookmarkStart w:id="36" w:name="_Toc17984663"/>
      <w:r w:rsidRPr="00176D47">
        <w:lastRenderedPageBreak/>
        <w:t>REIMBURSEMENT</w:t>
      </w:r>
      <w:r w:rsidRPr="00DE18C8">
        <w:t xml:space="preserve"> PROCEDURE</w:t>
      </w:r>
      <w:bookmarkEnd w:id="36"/>
    </w:p>
    <w:p w:rsidR="00E437B6" w:rsidRDefault="00E437B6" w:rsidP="00E437B6">
      <w:r>
        <w:t xml:space="preserve">Travel and entertainment reimbursements must be submitted on a properly completed </w:t>
      </w:r>
      <w:hyperlink r:id="rId36" w:history="1">
        <w:r w:rsidRPr="00C712B6">
          <w:rPr>
            <w:rStyle w:val="Hyperlink"/>
          </w:rPr>
          <w:t xml:space="preserve">Travel </w:t>
        </w:r>
        <w:r>
          <w:rPr>
            <w:rStyle w:val="Hyperlink"/>
          </w:rPr>
          <w:t xml:space="preserve">and Entertainment </w:t>
        </w:r>
        <w:r w:rsidRPr="00C712B6">
          <w:rPr>
            <w:rStyle w:val="Hyperlink"/>
          </w:rPr>
          <w:t>Expense Report</w:t>
        </w:r>
      </w:hyperlink>
      <w:r>
        <w:t xml:space="preserve">. All other reimbursements </w:t>
      </w:r>
      <w:r w:rsidRPr="00DE18C8">
        <w:t>of busine</w:t>
      </w:r>
      <w:r>
        <w:t xml:space="preserve">ss expenses other than travel are submitted on a </w:t>
      </w:r>
      <w:r w:rsidRPr="00DE18C8">
        <w:t xml:space="preserve">completed </w:t>
      </w:r>
      <w:hyperlink r:id="rId37" w:history="1">
        <w:r w:rsidRPr="00C712B6">
          <w:rPr>
            <w:rStyle w:val="Hyperlink"/>
          </w:rPr>
          <w:t>Check Request Form</w:t>
        </w:r>
      </w:hyperlink>
      <w:r>
        <w:t>.</w:t>
      </w:r>
    </w:p>
    <w:p w:rsidR="00E437B6" w:rsidRDefault="00DE18C8" w:rsidP="004B31A1">
      <w:r w:rsidRPr="00DE18C8">
        <w:t>All requests for reimbursement must be submitted to the Accounts Payable Office</w:t>
      </w:r>
      <w:r w:rsidR="009D4E5F">
        <w:t xml:space="preserve"> once all signoffs at the department and supervisory authority have been secured</w:t>
      </w:r>
      <w:r w:rsidR="0079704A">
        <w:t>.</w:t>
      </w:r>
    </w:p>
    <w:p w:rsidR="00DE18C8" w:rsidRDefault="00DE18C8" w:rsidP="004B31A1">
      <w:pPr>
        <w:rPr>
          <w:i/>
        </w:rPr>
      </w:pPr>
      <w:r w:rsidRPr="009D4E5F">
        <w:rPr>
          <w:i/>
        </w:rPr>
        <w:t xml:space="preserve">We strongly encourage all requests to be submitted within one month </w:t>
      </w:r>
      <w:r w:rsidR="00C712B6">
        <w:rPr>
          <w:i/>
        </w:rPr>
        <w:t xml:space="preserve">[30 days] </w:t>
      </w:r>
      <w:r w:rsidRPr="009D4E5F">
        <w:rPr>
          <w:i/>
        </w:rPr>
        <w:t xml:space="preserve">after the conclusion of the </w:t>
      </w:r>
      <w:r w:rsidR="00185EF0">
        <w:rPr>
          <w:i/>
        </w:rPr>
        <w:t>expense</w:t>
      </w:r>
      <w:r w:rsidR="00B14871" w:rsidRPr="009D4E5F">
        <w:rPr>
          <w:i/>
        </w:rPr>
        <w:t xml:space="preserve"> but no later than 90 days. </w:t>
      </w:r>
      <w:r w:rsidR="00C712B6">
        <w:rPr>
          <w:i/>
        </w:rPr>
        <w:t>This allows for processing time through the College’s system and allowance for additional information should a reimbursement need to be clarified prior to the IRS deeming it taxable income.</w:t>
      </w:r>
    </w:p>
    <w:p w:rsidR="00293F04" w:rsidRPr="00293F04" w:rsidRDefault="00293F04" w:rsidP="004B31A1">
      <w:pPr>
        <w:rPr>
          <w:rFonts w:ascii="Times New Roman" w:hAnsi="Times New Roman"/>
        </w:rPr>
      </w:pPr>
      <w:r w:rsidRPr="00DE18C8">
        <w:t>If a request for reimbursement is denied in full or in part, an appeal may be made to the Accounting Manager-Disbursements &amp; Grants or the Comptroller.</w:t>
      </w:r>
    </w:p>
    <w:p w:rsidR="006C2035" w:rsidRPr="00881D1D" w:rsidRDefault="00185EF0" w:rsidP="00BA16A8">
      <w:pPr>
        <w:pStyle w:val="Heading2"/>
      </w:pPr>
      <w:bookmarkStart w:id="37" w:name="_Toc17984664"/>
      <w:r w:rsidRPr="00881D1D">
        <w:t>Authorized Signers</w:t>
      </w:r>
      <w:bookmarkEnd w:id="37"/>
    </w:p>
    <w:p w:rsidR="00C712B6" w:rsidRPr="00881D1D" w:rsidRDefault="00C712B6" w:rsidP="00C712B6">
      <w:pPr>
        <w:rPr>
          <w:rFonts w:ascii="Times New Roman" w:hAnsi="Times New Roman"/>
        </w:rPr>
      </w:pPr>
      <w:r w:rsidRPr="00881D1D">
        <w:t>All requests to reimburse an employee for one-self must be signed by the employee and approved by their "next-in-line" supervisor. Request forms will be returned if the appropriate signatures are not on the form. This allows a review of the expenditures to ensure they are in accordance with the College’s travel and reimbursement guidelines and that all supporting materials are attached.</w:t>
      </w:r>
    </w:p>
    <w:p w:rsidR="00DE18C8" w:rsidRPr="00881D1D" w:rsidRDefault="00DE18C8" w:rsidP="006C2035">
      <w:pPr>
        <w:rPr>
          <w:rFonts w:ascii="Arial" w:hAnsi="Arial" w:cs="Arial"/>
          <w:sz w:val="20"/>
          <w:szCs w:val="20"/>
        </w:rPr>
      </w:pPr>
      <w:r w:rsidRPr="00881D1D">
        <w:rPr>
          <w:rFonts w:cs="Arial"/>
        </w:rPr>
        <w:t xml:space="preserve">For staff, the immediate supervisor </w:t>
      </w:r>
      <w:r w:rsidR="00632C1B" w:rsidRPr="00881D1D">
        <w:rPr>
          <w:rFonts w:cs="Arial"/>
        </w:rPr>
        <w:t>approves the reimbursement request upon signing</w:t>
      </w:r>
      <w:r w:rsidRPr="00881D1D">
        <w:rPr>
          <w:rFonts w:cs="Arial"/>
        </w:rPr>
        <w:t>. If the supervisor is not available, the supervisor’s supervisor or department head should approve the request</w:t>
      </w:r>
      <w:r w:rsidR="006C2035" w:rsidRPr="00881D1D">
        <w:rPr>
          <w:rFonts w:cs="Arial"/>
        </w:rPr>
        <w:t xml:space="preserve">. </w:t>
      </w:r>
      <w:r w:rsidRPr="00881D1D">
        <w:rPr>
          <w:rFonts w:cs="Arial"/>
        </w:rPr>
        <w:t>This applies to all staff</w:t>
      </w:r>
      <w:r w:rsidR="006C2035" w:rsidRPr="00881D1D">
        <w:rPr>
          <w:rFonts w:cs="Arial"/>
        </w:rPr>
        <w:t>, including t</w:t>
      </w:r>
      <w:r w:rsidRPr="00881D1D">
        <w:rPr>
          <w:rFonts w:cs="Arial"/>
        </w:rPr>
        <w:t>he senior officers of the College.</w:t>
      </w:r>
    </w:p>
    <w:p w:rsidR="00632C1B" w:rsidRPr="00881D1D" w:rsidRDefault="00632C1B" w:rsidP="00632C1B">
      <w:pPr>
        <w:rPr>
          <w:rFonts w:ascii="Arial" w:hAnsi="Arial"/>
          <w:sz w:val="20"/>
          <w:szCs w:val="20"/>
        </w:rPr>
      </w:pPr>
      <w:r w:rsidRPr="00881D1D">
        <w:t>Administrative heads must have approval by a senior staff member.</w:t>
      </w:r>
    </w:p>
    <w:p w:rsidR="00632C1B" w:rsidRPr="00881D1D" w:rsidRDefault="00632C1B" w:rsidP="00632C1B">
      <w:pPr>
        <w:rPr>
          <w:rFonts w:ascii="Arial" w:hAnsi="Arial"/>
          <w:sz w:val="20"/>
          <w:szCs w:val="20"/>
        </w:rPr>
      </w:pPr>
      <w:r w:rsidRPr="00881D1D">
        <w:t>Senior staff must submit their reimbursement requests to the Officer designated by the President.</w:t>
      </w:r>
    </w:p>
    <w:p w:rsidR="006C2035" w:rsidRPr="00881D1D" w:rsidRDefault="006C2035" w:rsidP="006C2035">
      <w:pPr>
        <w:rPr>
          <w:rFonts w:ascii="Arial" w:hAnsi="Arial"/>
          <w:sz w:val="20"/>
          <w:szCs w:val="20"/>
        </w:rPr>
      </w:pPr>
      <w:r w:rsidRPr="00881D1D">
        <w:t>For Faculty, the second signature is dependent upon the source of funding.</w:t>
      </w:r>
    </w:p>
    <w:p w:rsidR="006C2035" w:rsidRPr="00881D1D" w:rsidRDefault="006C2035" w:rsidP="006C2035">
      <w:pPr>
        <w:pStyle w:val="ListParagraph"/>
        <w:numPr>
          <w:ilvl w:val="0"/>
          <w:numId w:val="37"/>
        </w:numPr>
        <w:rPr>
          <w:rFonts w:ascii="Arial" w:hAnsi="Arial"/>
          <w:sz w:val="20"/>
          <w:szCs w:val="20"/>
        </w:rPr>
      </w:pPr>
      <w:r w:rsidRPr="00881D1D">
        <w:t>Department funded expenses</w:t>
      </w:r>
      <w:r w:rsidRPr="00881D1D">
        <w:br/>
        <w:t xml:space="preserve">the department </w:t>
      </w:r>
      <w:r w:rsidR="00632C1B" w:rsidRPr="00881D1D">
        <w:t>chair</w:t>
      </w:r>
    </w:p>
    <w:p w:rsidR="00632C1B" w:rsidRPr="00881D1D" w:rsidRDefault="006C2035" w:rsidP="006C2035">
      <w:pPr>
        <w:pStyle w:val="ListParagraph"/>
        <w:numPr>
          <w:ilvl w:val="0"/>
          <w:numId w:val="37"/>
        </w:numPr>
        <w:rPr>
          <w:rFonts w:ascii="Arial" w:hAnsi="Arial"/>
          <w:sz w:val="20"/>
          <w:szCs w:val="20"/>
        </w:rPr>
      </w:pPr>
      <w:r w:rsidRPr="00881D1D">
        <w:t xml:space="preserve">Dean of Faculty </w:t>
      </w:r>
      <w:r w:rsidR="00632C1B" w:rsidRPr="00881D1D">
        <w:t xml:space="preserve">(DOF) </w:t>
      </w:r>
      <w:r w:rsidR="00881D1D" w:rsidRPr="00881D1D">
        <w:t xml:space="preserve">funded expenses, for example Conference </w:t>
      </w:r>
      <w:proofErr w:type="spellStart"/>
      <w:r w:rsidR="00881D1D" w:rsidRPr="00881D1D">
        <w:t>Tarvel</w:t>
      </w:r>
      <w:proofErr w:type="spellEnd"/>
      <w:r w:rsidR="00881D1D" w:rsidRPr="00881D1D">
        <w:t xml:space="preserve"> and Faculty Grants awarded by DOF</w:t>
      </w:r>
      <w:r w:rsidRPr="00881D1D">
        <w:br/>
        <w:t>the de</w:t>
      </w:r>
      <w:r w:rsidR="00632C1B" w:rsidRPr="00881D1D">
        <w:t>signated DOF authorized signer</w:t>
      </w:r>
    </w:p>
    <w:p w:rsidR="006C2035" w:rsidRPr="00881D1D" w:rsidRDefault="006C2035" w:rsidP="006C2035">
      <w:pPr>
        <w:pStyle w:val="ListParagraph"/>
        <w:numPr>
          <w:ilvl w:val="0"/>
          <w:numId w:val="37"/>
        </w:numPr>
      </w:pPr>
      <w:r w:rsidRPr="00881D1D">
        <w:t>Grant funded expenses</w:t>
      </w:r>
      <w:r w:rsidRPr="00881D1D">
        <w:br/>
        <w:t xml:space="preserve">All requests paid for out of a grant must be </w:t>
      </w:r>
      <w:r w:rsidR="00632C1B" w:rsidRPr="00881D1D">
        <w:t xml:space="preserve">signed off on </w:t>
      </w:r>
      <w:r w:rsidRPr="00881D1D">
        <w:t>by the principal investigator</w:t>
      </w:r>
      <w:r w:rsidR="00632C1B" w:rsidRPr="00881D1D">
        <w:t xml:space="preserve"> (PI)</w:t>
      </w:r>
      <w:r w:rsidRPr="00881D1D">
        <w:t>.</w:t>
      </w:r>
      <w:r w:rsidRPr="00881D1D">
        <w:br/>
        <w:t>A PI may sign a request for themselves when charged to a grant.</w:t>
      </w:r>
    </w:p>
    <w:p w:rsidR="00DE18C8" w:rsidRDefault="00632C1B" w:rsidP="00176D47">
      <w:pPr>
        <w:pStyle w:val="Heading2"/>
      </w:pPr>
      <w:bookmarkStart w:id="38" w:name="_Toc17984665"/>
      <w:r w:rsidRPr="00176D47">
        <w:t>Submission</w:t>
      </w:r>
      <w:bookmarkEnd w:id="38"/>
    </w:p>
    <w:p w:rsidR="00C712B6" w:rsidRDefault="00DE18C8" w:rsidP="00632C1B">
      <w:r w:rsidRPr="00DE18C8">
        <w:t>Requests should arrive in the accounts payable office without</w:t>
      </w:r>
      <w:r w:rsidR="00632C1B">
        <w:t xml:space="preserve"> discrepancies. </w:t>
      </w:r>
      <w:r w:rsidRPr="00DE18C8">
        <w:t xml:space="preserve">In the event of discrepancies in a reimbursement request (e.g. absence of original </w:t>
      </w:r>
      <w:r w:rsidR="00185EF0">
        <w:t xml:space="preserve">itemized </w:t>
      </w:r>
      <w:r w:rsidRPr="00DE18C8">
        <w:t>receipts, differences between receipts and requested amounts, etc.)</w:t>
      </w:r>
      <w:r w:rsidR="00632C1B">
        <w:t>, it should be made clear why the discrepancy has occurred.</w:t>
      </w:r>
    </w:p>
    <w:p w:rsidR="00C712B6" w:rsidRDefault="00C712B6" w:rsidP="00632C1B">
      <w:r>
        <w:t>If</w:t>
      </w:r>
      <w:r w:rsidR="00293F04">
        <w:t xml:space="preserve"> a</w:t>
      </w:r>
      <w:r>
        <w:t xml:space="preserve"> </w:t>
      </w:r>
      <w:hyperlink r:id="rId38" w:history="1">
        <w:r w:rsidRPr="00293F04">
          <w:rPr>
            <w:rStyle w:val="Hyperlink"/>
          </w:rPr>
          <w:t>Missing Receipt Affidavit</w:t>
        </w:r>
      </w:hyperlink>
      <w:r w:rsidR="00293F04">
        <w:t xml:space="preserve"> is </w:t>
      </w:r>
      <w:r>
        <w:t xml:space="preserve">needed, </w:t>
      </w:r>
      <w:r w:rsidR="00293F04">
        <w:t>it</w:t>
      </w:r>
      <w:r>
        <w:t xml:space="preserve"> should be </w:t>
      </w:r>
      <w:r w:rsidR="002839DB">
        <w:t xml:space="preserve">completed and </w:t>
      </w:r>
      <w:r>
        <w:t>included with the form.</w:t>
      </w:r>
    </w:p>
    <w:p w:rsidR="00632C1B" w:rsidRDefault="00293F04" w:rsidP="00632C1B">
      <w:r>
        <w:t>Any explanations should be clear and signed o</w:t>
      </w:r>
      <w:r w:rsidR="00632C1B">
        <w:t>ff by the supervisor of the person requesting the reimbursement.</w:t>
      </w:r>
    </w:p>
    <w:p w:rsidR="00D25ECE" w:rsidRDefault="00D25ECE" w:rsidP="00D25ECE">
      <w:r w:rsidRPr="00DE18C8">
        <w:lastRenderedPageBreak/>
        <w:t xml:space="preserve">Expenses incurred in foreign currency must be converted to US Dollars as of the date of travel. A convenient currency conversion tool is available at the following link: </w:t>
      </w:r>
      <w:hyperlink r:id="rId39" w:history="1">
        <w:r w:rsidRPr="00A666F2">
          <w:rPr>
            <w:rStyle w:val="Hyperlink"/>
          </w:rPr>
          <w:t>https://www.oanda.com/currency/converter/</w:t>
        </w:r>
      </w:hyperlink>
      <w:r>
        <w:t>.</w:t>
      </w:r>
    </w:p>
    <w:p w:rsidR="00C45D1F" w:rsidRPr="00DE18C8" w:rsidRDefault="00C45D1F" w:rsidP="00D25ECE">
      <w:pPr>
        <w:rPr>
          <w:rFonts w:ascii="Times New Roman" w:hAnsi="Times New Roman"/>
        </w:rPr>
      </w:pPr>
      <w:r>
        <w:t xml:space="preserve">Should you already have a credit card statement with the currency stated in US Dollars, this can be submitted in place of the </w:t>
      </w:r>
      <w:proofErr w:type="spellStart"/>
      <w:r>
        <w:t>Oanda</w:t>
      </w:r>
      <w:proofErr w:type="spellEnd"/>
      <w:r>
        <w:t xml:space="preserve"> currency converter.</w:t>
      </w:r>
    </w:p>
    <w:p w:rsidR="00DE18C8" w:rsidRPr="00DE18C8" w:rsidRDefault="00DE18C8" w:rsidP="00293F04">
      <w:pPr>
        <w:pStyle w:val="Heading2"/>
        <w:rPr>
          <w:rFonts w:ascii="Times New Roman" w:eastAsia="Times New Roman" w:hAnsi="Times New Roman"/>
        </w:rPr>
      </w:pPr>
      <w:bookmarkStart w:id="39" w:name="_Toc17984666"/>
      <w:r w:rsidRPr="00293F04">
        <w:t>Documentation</w:t>
      </w:r>
      <w:bookmarkEnd w:id="39"/>
    </w:p>
    <w:p w:rsidR="00DE18C8" w:rsidRPr="00DE18C8" w:rsidRDefault="00FD5404" w:rsidP="00176D47">
      <w:pPr>
        <w:rPr>
          <w:rFonts w:ascii="Times New Roman" w:hAnsi="Times New Roman"/>
        </w:rPr>
      </w:pPr>
      <w:r>
        <w:t>A</w:t>
      </w:r>
      <w:r w:rsidR="00206A6F">
        <w:t xml:space="preserve"> </w:t>
      </w:r>
      <w:hyperlink r:id="rId40" w:history="1">
        <w:r w:rsidR="00206A6F" w:rsidRPr="00206A6F">
          <w:rPr>
            <w:rStyle w:val="Hyperlink"/>
          </w:rPr>
          <w:t>Check Request form</w:t>
        </w:r>
      </w:hyperlink>
      <w:r w:rsidR="00206A6F">
        <w:t xml:space="preserve"> or </w:t>
      </w:r>
      <w:hyperlink r:id="rId41" w:history="1">
        <w:r w:rsidR="00C45D1F" w:rsidRPr="00C712B6">
          <w:rPr>
            <w:rStyle w:val="Hyperlink"/>
          </w:rPr>
          <w:t xml:space="preserve">Travel </w:t>
        </w:r>
        <w:r w:rsidR="00C45D1F">
          <w:rPr>
            <w:rStyle w:val="Hyperlink"/>
          </w:rPr>
          <w:t xml:space="preserve">and Entertainment </w:t>
        </w:r>
        <w:r w:rsidR="00C45D1F" w:rsidRPr="00C712B6">
          <w:rPr>
            <w:rStyle w:val="Hyperlink"/>
          </w:rPr>
          <w:t>Expense Report</w:t>
        </w:r>
      </w:hyperlink>
      <w:r w:rsidR="00C45D1F">
        <w:t xml:space="preserve">. </w:t>
      </w:r>
      <w:r w:rsidR="00DE18C8" w:rsidRPr="00DE18C8">
        <w:t>must be accompanied by the following:</w:t>
      </w:r>
    </w:p>
    <w:p w:rsidR="00DE18C8" w:rsidRPr="00176D47" w:rsidRDefault="00DE18C8" w:rsidP="00176D47">
      <w:pPr>
        <w:pStyle w:val="ListParagraph"/>
        <w:numPr>
          <w:ilvl w:val="0"/>
          <w:numId w:val="39"/>
        </w:numPr>
        <w:rPr>
          <w:rFonts w:ascii="Times New Roman" w:hAnsi="Times New Roman"/>
        </w:rPr>
      </w:pPr>
      <w:r w:rsidRPr="00176D47">
        <w:rPr>
          <w:rFonts w:cs="Arial"/>
          <w:u w:val="single"/>
        </w:rPr>
        <w:t>Original documentation</w:t>
      </w:r>
      <w:r w:rsidR="00293F04">
        <w:rPr>
          <w:rFonts w:cs="Arial"/>
          <w:u w:val="single"/>
        </w:rPr>
        <w:br/>
      </w:r>
      <w:r w:rsidR="00293F04">
        <w:rPr>
          <w:rFonts w:cs="Arial"/>
        </w:rPr>
        <w:t xml:space="preserve">e.g. </w:t>
      </w:r>
      <w:r w:rsidRPr="00176D47">
        <w:rPr>
          <w:rFonts w:cs="Arial"/>
        </w:rPr>
        <w:t xml:space="preserve">invoice, original </w:t>
      </w:r>
      <w:r w:rsidR="00185EF0">
        <w:rPr>
          <w:rFonts w:cs="Arial"/>
        </w:rPr>
        <w:t xml:space="preserve">itemized </w:t>
      </w:r>
      <w:r w:rsidRPr="00176D47">
        <w:rPr>
          <w:rFonts w:cs="Arial"/>
        </w:rPr>
        <w:t>receipt, e-ticket that includes payment information or e-mail receipt to support the expenditure.</w:t>
      </w:r>
      <w:r w:rsidR="00176D47" w:rsidRPr="00176D47">
        <w:rPr>
          <w:rFonts w:cs="Arial"/>
        </w:rPr>
        <w:br/>
      </w:r>
      <w:r w:rsidRPr="00176D47">
        <w:rPr>
          <w:rFonts w:cs="Arial"/>
        </w:rPr>
        <w:t>Additional information such as a brochure, a flyer or an e-mail can be helpful in explaining the busi</w:t>
      </w:r>
      <w:r w:rsidR="00176D47" w:rsidRPr="00176D47">
        <w:rPr>
          <w:rFonts w:cs="Arial"/>
        </w:rPr>
        <w:t>ness nature of the expenditure.</w:t>
      </w:r>
    </w:p>
    <w:p w:rsidR="00176D47" w:rsidRPr="00176D47" w:rsidRDefault="00DE18C8" w:rsidP="00176D47">
      <w:pPr>
        <w:pStyle w:val="ListParagraph"/>
        <w:numPr>
          <w:ilvl w:val="0"/>
          <w:numId w:val="39"/>
        </w:numPr>
        <w:rPr>
          <w:rFonts w:ascii="Arial" w:hAnsi="Arial" w:cs="Arial"/>
        </w:rPr>
      </w:pPr>
      <w:r w:rsidRPr="00176D47">
        <w:rPr>
          <w:rFonts w:cs="Arial"/>
          <w:u w:val="single"/>
        </w:rPr>
        <w:t>Business purpose explanation</w:t>
      </w:r>
      <w:r w:rsidR="00293F04">
        <w:rPr>
          <w:rFonts w:cs="Arial"/>
          <w:u w:val="single"/>
        </w:rPr>
        <w:br/>
      </w:r>
      <w:r w:rsidRPr="00176D47">
        <w:rPr>
          <w:rFonts w:cs="Arial"/>
        </w:rPr>
        <w:t>to substantiate the expense an</w:t>
      </w:r>
      <w:r w:rsidR="00293F04">
        <w:rPr>
          <w:rFonts w:cs="Arial"/>
        </w:rPr>
        <w:t>d explain the business purpose</w:t>
      </w:r>
    </w:p>
    <w:p w:rsidR="00DE18C8" w:rsidRPr="00DE18C8" w:rsidRDefault="00DE18C8" w:rsidP="00176D47">
      <w:pPr>
        <w:rPr>
          <w:rFonts w:ascii="Times New Roman" w:hAnsi="Times New Roman"/>
        </w:rPr>
      </w:pPr>
      <w:r w:rsidRPr="00DE18C8">
        <w:t>When a trip involves traveling for both Mount Holyoke and other purposes, it is assumed that the traveler will reasonably prorate the costs to Mount Holyoke and to the other activity. In the event that an original receipt is needed for another organization as well as for the College, a copy of the receipt with an explanation of the prorated charges is acceptable documentation.</w:t>
      </w:r>
    </w:p>
    <w:p w:rsidR="00293F04" w:rsidRDefault="00293F04" w:rsidP="00176D47">
      <w:pPr>
        <w:rPr>
          <w:rFonts w:cs="Arial"/>
        </w:rPr>
      </w:pPr>
      <w:r w:rsidRPr="00176D47">
        <w:rPr>
          <w:rFonts w:cs="Arial"/>
        </w:rPr>
        <w:t>For any questions regarding proper documentation, please contact Accounts Payable</w:t>
      </w:r>
      <w:r>
        <w:rPr>
          <w:rFonts w:cs="Arial"/>
        </w:rPr>
        <w:t>, (</w:t>
      </w:r>
      <w:r w:rsidR="00FD5404">
        <w:rPr>
          <w:rFonts w:cs="Arial"/>
        </w:rPr>
        <w:t xml:space="preserve">ext. </w:t>
      </w:r>
      <w:r w:rsidRPr="00176D47">
        <w:rPr>
          <w:rFonts w:cs="Arial"/>
        </w:rPr>
        <w:t>2901</w:t>
      </w:r>
      <w:r>
        <w:rPr>
          <w:rFonts w:cs="Arial"/>
        </w:rPr>
        <w:t>)</w:t>
      </w:r>
      <w:r w:rsidRPr="00176D47">
        <w:rPr>
          <w:rFonts w:cs="Arial"/>
        </w:rPr>
        <w:t xml:space="preserve"> prior to submitting the request.</w:t>
      </w:r>
    </w:p>
    <w:p w:rsidR="00DE18C8" w:rsidRPr="00DE18C8" w:rsidRDefault="00293F04" w:rsidP="00176D47">
      <w:pPr>
        <w:rPr>
          <w:rFonts w:ascii="Times New Roman" w:hAnsi="Times New Roman"/>
        </w:rPr>
      </w:pPr>
      <w:r>
        <w:t>B</w:t>
      </w:r>
      <w:r w:rsidR="00DE18C8" w:rsidRPr="00DE18C8">
        <w:t>usiness meal expenses</w:t>
      </w:r>
      <w:r>
        <w:t xml:space="preserve"> need to be substantiated </w:t>
      </w:r>
      <w:r w:rsidR="00DE18C8" w:rsidRPr="00DE18C8">
        <w:t>in detail,</w:t>
      </w:r>
      <w:r>
        <w:t xml:space="preserve"> for all</w:t>
      </w:r>
      <w:r w:rsidR="00DE18C8" w:rsidRPr="00DE18C8">
        <w:t xml:space="preserve"> expenses incurred.</w:t>
      </w:r>
      <w:r>
        <w:t xml:space="preserve"> </w:t>
      </w:r>
      <w:r w:rsidR="00DE18C8" w:rsidRPr="00DE18C8">
        <w:rPr>
          <w:b/>
          <w:bCs/>
        </w:rPr>
        <w:t>All original itemized receipts for expenses $25.00 or over must be submitted.</w:t>
      </w:r>
      <w:r w:rsidR="00176D47">
        <w:rPr>
          <w:b/>
          <w:bCs/>
        </w:rPr>
        <w:t xml:space="preserve"> </w:t>
      </w:r>
      <w:r w:rsidR="00DE18C8" w:rsidRPr="00DE18C8">
        <w:t>The information should include the following.</w:t>
      </w:r>
    </w:p>
    <w:p w:rsidR="00DE18C8" w:rsidRPr="00176D47" w:rsidRDefault="00DE18C8" w:rsidP="00176D47">
      <w:pPr>
        <w:pStyle w:val="ListParagraph"/>
        <w:numPr>
          <w:ilvl w:val="0"/>
          <w:numId w:val="40"/>
        </w:numPr>
        <w:rPr>
          <w:rFonts w:ascii="Arial" w:hAnsi="Arial" w:cs="Arial"/>
        </w:rPr>
      </w:pPr>
      <w:r w:rsidRPr="00176D47">
        <w:rPr>
          <w:rFonts w:cs="Arial"/>
        </w:rPr>
        <w:t>Who attended and their College relationship</w:t>
      </w:r>
    </w:p>
    <w:p w:rsidR="00810B3C" w:rsidRPr="00881D1D" w:rsidRDefault="00810B3C" w:rsidP="00881D1D">
      <w:pPr>
        <w:pStyle w:val="ListParagraph"/>
        <w:numPr>
          <w:ilvl w:val="1"/>
          <w:numId w:val="40"/>
        </w:numPr>
        <w:rPr>
          <w:rFonts w:ascii="Arial" w:hAnsi="Arial" w:cs="Arial"/>
        </w:rPr>
      </w:pPr>
      <w:r w:rsidRPr="00881D1D">
        <w:rPr>
          <w:rFonts w:cs="Arial"/>
        </w:rPr>
        <w:t>If all attendees are College employees, please list the reason to meet outside the offices over a meal</w:t>
      </w:r>
    </w:p>
    <w:p w:rsidR="00DE18C8" w:rsidRPr="00176D47" w:rsidRDefault="00DE18C8" w:rsidP="00176D47">
      <w:pPr>
        <w:pStyle w:val="ListParagraph"/>
        <w:numPr>
          <w:ilvl w:val="0"/>
          <w:numId w:val="40"/>
        </w:numPr>
        <w:rPr>
          <w:rFonts w:ascii="Arial" w:hAnsi="Arial" w:cs="Arial"/>
        </w:rPr>
      </w:pPr>
      <w:r w:rsidRPr="00176D47">
        <w:rPr>
          <w:rFonts w:cs="Arial"/>
        </w:rPr>
        <w:t>Date when the meal took place</w:t>
      </w:r>
    </w:p>
    <w:p w:rsidR="00DE18C8" w:rsidRPr="00176D47" w:rsidRDefault="00DE18C8" w:rsidP="00176D47">
      <w:pPr>
        <w:pStyle w:val="ListParagraph"/>
        <w:numPr>
          <w:ilvl w:val="0"/>
          <w:numId w:val="40"/>
        </w:numPr>
        <w:rPr>
          <w:rFonts w:ascii="Arial" w:hAnsi="Arial" w:cs="Arial"/>
        </w:rPr>
      </w:pPr>
      <w:r w:rsidRPr="00176D47">
        <w:rPr>
          <w:rFonts w:cs="Arial"/>
        </w:rPr>
        <w:t>Where the meal took place (name of restaurant)</w:t>
      </w:r>
    </w:p>
    <w:p w:rsidR="00DE18C8" w:rsidRPr="00810B3C" w:rsidRDefault="00DE18C8" w:rsidP="00176D47">
      <w:pPr>
        <w:pStyle w:val="ListParagraph"/>
        <w:numPr>
          <w:ilvl w:val="0"/>
          <w:numId w:val="40"/>
        </w:numPr>
        <w:rPr>
          <w:rFonts w:ascii="Arial" w:hAnsi="Arial" w:cs="Arial"/>
        </w:rPr>
      </w:pPr>
      <w:r w:rsidRPr="00176D47">
        <w:rPr>
          <w:rFonts w:cs="Arial"/>
        </w:rPr>
        <w:t>The business purpose of the event</w:t>
      </w:r>
    </w:p>
    <w:p w:rsidR="00DE18C8" w:rsidRDefault="00DE18C8" w:rsidP="00176D47">
      <w:r w:rsidRPr="00DE18C8">
        <w:t>In some cases when traveling, a bill may be split by many in the dining party and a participant may not have a copy of the itemized bill. A statement on the receipt stating that the bill was s</w:t>
      </w:r>
      <w:r w:rsidR="00176D47">
        <w:t>plit will meet the requirement.</w:t>
      </w:r>
    </w:p>
    <w:p w:rsidR="00206A6F" w:rsidRPr="00DE18C8" w:rsidRDefault="00206A6F" w:rsidP="00176D47">
      <w:pPr>
        <w:rPr>
          <w:rFonts w:ascii="Times New Roman" w:hAnsi="Times New Roman"/>
        </w:rPr>
      </w:pPr>
      <w:r>
        <w:t xml:space="preserve">If traveling internationally, complete a separate Travel and Entertainment form for each country. This will allow for ease of processing as we navigate the various currencies and what is due to you for a reimbursement. </w:t>
      </w:r>
    </w:p>
    <w:p w:rsidR="00293F04" w:rsidRPr="00DE18C8" w:rsidRDefault="00293F04" w:rsidP="00FD5404">
      <w:pPr>
        <w:pStyle w:val="Heading3"/>
        <w:rPr>
          <w:rFonts w:ascii="Times New Roman" w:hAnsi="Times New Roman"/>
        </w:rPr>
      </w:pPr>
      <w:bookmarkStart w:id="40" w:name="_Toc17984667"/>
      <w:r w:rsidRPr="00770E9C">
        <w:t>Missing</w:t>
      </w:r>
      <w:r w:rsidRPr="00DE18C8">
        <w:t xml:space="preserve"> Receipt Affidavit</w:t>
      </w:r>
      <w:bookmarkEnd w:id="40"/>
    </w:p>
    <w:p w:rsidR="00293F04" w:rsidRPr="00DE18C8" w:rsidRDefault="00293F04" w:rsidP="00293F04">
      <w:pPr>
        <w:rPr>
          <w:b/>
          <w:bCs/>
        </w:rPr>
      </w:pPr>
      <w:r w:rsidRPr="00DE18C8">
        <w:t>Individuals must attempt to obtain a copy of the original receipt from the vendor for</w:t>
      </w:r>
      <w:r>
        <w:t xml:space="preserve"> all expenses in excess of $25.</w:t>
      </w:r>
      <w:r w:rsidRPr="00DE18C8">
        <w:t xml:space="preserve"> Missing receipts should be infrequent and only occur after every attempt to provide an itemized receipt has been exhausted.</w:t>
      </w:r>
    </w:p>
    <w:p w:rsidR="00DE18C8" w:rsidRPr="008F2562" w:rsidRDefault="00293F04" w:rsidP="008F2562">
      <w:pPr>
        <w:rPr>
          <w:b/>
          <w:bCs/>
        </w:rPr>
      </w:pPr>
      <w:r w:rsidRPr="00DE18C8">
        <w:t xml:space="preserve">If you do not have a receipt for expenses over $25.00, please complete the </w:t>
      </w:r>
      <w:hyperlink r:id="rId42" w:history="1">
        <w:r w:rsidRPr="00293F04">
          <w:rPr>
            <w:rStyle w:val="Hyperlink"/>
          </w:rPr>
          <w:t>Missing Receipt Affidavit Form</w:t>
        </w:r>
      </w:hyperlink>
      <w:r w:rsidRPr="00DE18C8">
        <w:t>. Missing receipt affidavits must be signed by both the in</w:t>
      </w:r>
      <w:r>
        <w:t>dividual and authorized signer.</w:t>
      </w:r>
      <w:bookmarkStart w:id="41" w:name="_Per-Diem_Reimbursement_for"/>
      <w:bookmarkEnd w:id="41"/>
    </w:p>
    <w:sectPr w:rsidR="00DE18C8" w:rsidRPr="008F2562" w:rsidSect="00586DB9">
      <w:footerReference w:type="default" r:id="rId43"/>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7FA" w:rsidRDefault="007637FA" w:rsidP="00701D6B">
      <w:pPr>
        <w:spacing w:after="0" w:line="240" w:lineRule="auto"/>
      </w:pPr>
      <w:r>
        <w:separator/>
      </w:r>
    </w:p>
  </w:endnote>
  <w:endnote w:type="continuationSeparator" w:id="0">
    <w:p w:rsidR="007637FA" w:rsidRDefault="007637FA" w:rsidP="0070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S Maquette Pro Light">
    <w:altName w:val="Cambria"/>
    <w:panose1 w:val="02000303030000020004"/>
    <w:charset w:val="4D"/>
    <w:family w:val="auto"/>
    <w:notTrueType/>
    <w:pitch w:val="variable"/>
    <w:sig w:usb0="A00000BF" w:usb1="5000A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5294"/>
      <w:docPartObj>
        <w:docPartGallery w:val="Page Numbers (Bottom of Page)"/>
        <w:docPartUnique/>
      </w:docPartObj>
    </w:sdtPr>
    <w:sdtEndPr>
      <w:rPr>
        <w:noProof/>
      </w:rPr>
    </w:sdtEndPr>
    <w:sdtContent>
      <w:p w:rsidR="0071052B" w:rsidRDefault="0071052B" w:rsidP="00701D6B">
        <w:pPr>
          <w:pStyle w:val="Footer"/>
          <w:tabs>
            <w:tab w:val="clear" w:pos="9360"/>
            <w:tab w:val="right" w:pos="10620"/>
          </w:tabs>
        </w:pPr>
        <w:r>
          <w:tab/>
        </w:r>
        <w:r>
          <w:fldChar w:fldCharType="begin"/>
        </w:r>
        <w:r>
          <w:instrText xml:space="preserve"> PAGE   \* MERGEFORMAT </w:instrText>
        </w:r>
        <w:r>
          <w:fldChar w:fldCharType="separate"/>
        </w:r>
        <w:r w:rsidR="00B96358">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7FA" w:rsidRDefault="007637FA" w:rsidP="00701D6B">
      <w:pPr>
        <w:spacing w:after="0" w:line="240" w:lineRule="auto"/>
      </w:pPr>
      <w:r>
        <w:separator/>
      </w:r>
    </w:p>
  </w:footnote>
  <w:footnote w:type="continuationSeparator" w:id="0">
    <w:p w:rsidR="007637FA" w:rsidRDefault="007637FA" w:rsidP="00701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32A"/>
    <w:multiLevelType w:val="hybridMultilevel"/>
    <w:tmpl w:val="1BBA1C0C"/>
    <w:lvl w:ilvl="0" w:tplc="FCFABE9C">
      <w:start w:val="1"/>
      <w:numFmt w:val="decimal"/>
      <w:lvlText w:val="%1."/>
      <w:lvlJc w:val="left"/>
      <w:pPr>
        <w:ind w:left="720" w:hanging="360"/>
      </w:pPr>
      <w:rPr>
        <w:rFonts w:ascii="Calibri Light" w:hAnsi="Calibri Light"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6F48"/>
    <w:multiLevelType w:val="hybridMultilevel"/>
    <w:tmpl w:val="FF54F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5C5E3A"/>
    <w:multiLevelType w:val="hybridMultilevel"/>
    <w:tmpl w:val="E876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3C8F"/>
    <w:multiLevelType w:val="hybridMultilevel"/>
    <w:tmpl w:val="E94C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76C0D"/>
    <w:multiLevelType w:val="hybridMultilevel"/>
    <w:tmpl w:val="67D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56A05"/>
    <w:multiLevelType w:val="multilevel"/>
    <w:tmpl w:val="454A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42785"/>
    <w:multiLevelType w:val="hybridMultilevel"/>
    <w:tmpl w:val="17DC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D2E"/>
    <w:multiLevelType w:val="hybridMultilevel"/>
    <w:tmpl w:val="A9360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70B0B"/>
    <w:multiLevelType w:val="hybridMultilevel"/>
    <w:tmpl w:val="9FBE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137D0"/>
    <w:multiLevelType w:val="hybridMultilevel"/>
    <w:tmpl w:val="76DC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B20DE"/>
    <w:multiLevelType w:val="multilevel"/>
    <w:tmpl w:val="36BC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41D54"/>
    <w:multiLevelType w:val="hybridMultilevel"/>
    <w:tmpl w:val="5DBA0B68"/>
    <w:lvl w:ilvl="0" w:tplc="66DC84CE">
      <w:start w:val="1"/>
      <w:numFmt w:val="upperLetter"/>
      <w:lvlText w:val="%1."/>
      <w:lvlJc w:val="left"/>
      <w:pPr>
        <w:ind w:left="36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C6ADF"/>
    <w:multiLevelType w:val="multilevel"/>
    <w:tmpl w:val="698A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53BF9"/>
    <w:multiLevelType w:val="multilevel"/>
    <w:tmpl w:val="E1D2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10892"/>
    <w:multiLevelType w:val="hybridMultilevel"/>
    <w:tmpl w:val="1298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02BDA"/>
    <w:multiLevelType w:val="hybridMultilevel"/>
    <w:tmpl w:val="1F5A1270"/>
    <w:lvl w:ilvl="0" w:tplc="80663E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F55C4"/>
    <w:multiLevelType w:val="multilevel"/>
    <w:tmpl w:val="EB0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61DF6"/>
    <w:multiLevelType w:val="hybridMultilevel"/>
    <w:tmpl w:val="4DFA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A1BAE"/>
    <w:multiLevelType w:val="multilevel"/>
    <w:tmpl w:val="39A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4510F"/>
    <w:multiLevelType w:val="hybridMultilevel"/>
    <w:tmpl w:val="0356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D523B"/>
    <w:multiLevelType w:val="hybridMultilevel"/>
    <w:tmpl w:val="E2EE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55F3F"/>
    <w:multiLevelType w:val="multilevel"/>
    <w:tmpl w:val="6FDE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402E2E"/>
    <w:multiLevelType w:val="hybridMultilevel"/>
    <w:tmpl w:val="B2D8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867B2"/>
    <w:multiLevelType w:val="multilevel"/>
    <w:tmpl w:val="E95C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D0AA4"/>
    <w:multiLevelType w:val="hybridMultilevel"/>
    <w:tmpl w:val="EF9E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32FBF"/>
    <w:multiLevelType w:val="hybridMultilevel"/>
    <w:tmpl w:val="39DE8B5A"/>
    <w:lvl w:ilvl="0" w:tplc="5A32B978">
      <w:start w:val="1"/>
      <w:numFmt w:val="decimal"/>
      <w:lvlText w:val="%1."/>
      <w:lvlJc w:val="left"/>
      <w:pPr>
        <w:ind w:left="720" w:hanging="360"/>
      </w:pPr>
      <w:rPr>
        <w:rFonts w:ascii="Calibri Light" w:hAnsi="Calibri Light"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06C2C"/>
    <w:multiLevelType w:val="hybridMultilevel"/>
    <w:tmpl w:val="3418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7250C"/>
    <w:multiLevelType w:val="multilevel"/>
    <w:tmpl w:val="0292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653ED"/>
    <w:multiLevelType w:val="multilevel"/>
    <w:tmpl w:val="FCBC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1A6D62"/>
    <w:multiLevelType w:val="hybridMultilevel"/>
    <w:tmpl w:val="241A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A1628"/>
    <w:multiLevelType w:val="hybridMultilevel"/>
    <w:tmpl w:val="7466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31251"/>
    <w:multiLevelType w:val="hybridMultilevel"/>
    <w:tmpl w:val="C4DA9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D5BFF"/>
    <w:multiLevelType w:val="multilevel"/>
    <w:tmpl w:val="1072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651113"/>
    <w:multiLevelType w:val="hybridMultilevel"/>
    <w:tmpl w:val="F410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86D2E"/>
    <w:multiLevelType w:val="hybridMultilevel"/>
    <w:tmpl w:val="8040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12D1C"/>
    <w:multiLevelType w:val="hybridMultilevel"/>
    <w:tmpl w:val="C82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D7EEE"/>
    <w:multiLevelType w:val="hybridMultilevel"/>
    <w:tmpl w:val="11F8996C"/>
    <w:lvl w:ilvl="0" w:tplc="591A8CE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4C3271"/>
    <w:multiLevelType w:val="hybridMultilevel"/>
    <w:tmpl w:val="C7AE1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E2D2E"/>
    <w:multiLevelType w:val="hybridMultilevel"/>
    <w:tmpl w:val="099AD910"/>
    <w:lvl w:ilvl="0" w:tplc="824C20C0">
      <w:start w:val="1"/>
      <w:numFmt w:val="decimal"/>
      <w:lvlText w:val="%1."/>
      <w:lvlJc w:val="left"/>
      <w:pPr>
        <w:ind w:left="720" w:hanging="360"/>
      </w:pPr>
      <w:rPr>
        <w:rFonts w:ascii="Calibri Light" w:hAnsi="Calibri Light"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17C73"/>
    <w:multiLevelType w:val="hybridMultilevel"/>
    <w:tmpl w:val="3496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47148"/>
    <w:multiLevelType w:val="multilevel"/>
    <w:tmpl w:val="2E6A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172B4E"/>
    <w:multiLevelType w:val="hybridMultilevel"/>
    <w:tmpl w:val="03E488F2"/>
    <w:lvl w:ilvl="0" w:tplc="ABDCBFD6">
      <w:start w:val="1"/>
      <w:numFmt w:val="decimal"/>
      <w:lvlText w:val="%1."/>
      <w:lvlJc w:val="left"/>
      <w:pPr>
        <w:ind w:left="720" w:hanging="360"/>
      </w:pPr>
      <w:rPr>
        <w:rFonts w:ascii="Calibri Light" w:hAnsi="Calibri Light"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D790B"/>
    <w:multiLevelType w:val="hybridMultilevel"/>
    <w:tmpl w:val="B5260DE4"/>
    <w:lvl w:ilvl="0" w:tplc="80CA2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853CB"/>
    <w:multiLevelType w:val="hybridMultilevel"/>
    <w:tmpl w:val="8F9E3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905F3"/>
    <w:multiLevelType w:val="hybridMultilevel"/>
    <w:tmpl w:val="B31C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55CAD"/>
    <w:multiLevelType w:val="multilevel"/>
    <w:tmpl w:val="4846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713DA9"/>
    <w:multiLevelType w:val="hybridMultilevel"/>
    <w:tmpl w:val="698A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814220">
    <w:abstractNumId w:val="12"/>
  </w:num>
  <w:num w:numId="2" w16cid:durableId="1111046107">
    <w:abstractNumId w:val="32"/>
  </w:num>
  <w:num w:numId="3" w16cid:durableId="1652056562">
    <w:abstractNumId w:val="5"/>
  </w:num>
  <w:num w:numId="4" w16cid:durableId="1605964638">
    <w:abstractNumId w:val="27"/>
  </w:num>
  <w:num w:numId="5" w16cid:durableId="257561166">
    <w:abstractNumId w:val="40"/>
  </w:num>
  <w:num w:numId="6" w16cid:durableId="785856503">
    <w:abstractNumId w:val="10"/>
  </w:num>
  <w:num w:numId="7" w16cid:durableId="177547346">
    <w:abstractNumId w:val="23"/>
  </w:num>
  <w:num w:numId="8" w16cid:durableId="664017083">
    <w:abstractNumId w:val="28"/>
  </w:num>
  <w:num w:numId="9" w16cid:durableId="615017456">
    <w:abstractNumId w:val="45"/>
  </w:num>
  <w:num w:numId="10" w16cid:durableId="1134063596">
    <w:abstractNumId w:val="18"/>
  </w:num>
  <w:num w:numId="11" w16cid:durableId="1229658356">
    <w:abstractNumId w:val="13"/>
  </w:num>
  <w:num w:numId="12" w16cid:durableId="741568077">
    <w:abstractNumId w:val="21"/>
  </w:num>
  <w:num w:numId="13" w16cid:durableId="1209731677">
    <w:abstractNumId w:val="20"/>
  </w:num>
  <w:num w:numId="14" w16cid:durableId="1704592660">
    <w:abstractNumId w:val="2"/>
  </w:num>
  <w:num w:numId="15" w16cid:durableId="1271275751">
    <w:abstractNumId w:val="14"/>
  </w:num>
  <w:num w:numId="16" w16cid:durableId="1730690177">
    <w:abstractNumId w:val="25"/>
  </w:num>
  <w:num w:numId="17" w16cid:durableId="1087851009">
    <w:abstractNumId w:val="8"/>
  </w:num>
  <w:num w:numId="18" w16cid:durableId="969239662">
    <w:abstractNumId w:val="31"/>
  </w:num>
  <w:num w:numId="19" w16cid:durableId="1314946620">
    <w:abstractNumId w:val="11"/>
  </w:num>
  <w:num w:numId="20" w16cid:durableId="1467508604">
    <w:abstractNumId w:val="38"/>
  </w:num>
  <w:num w:numId="21" w16cid:durableId="2126193348">
    <w:abstractNumId w:val="30"/>
  </w:num>
  <w:num w:numId="22" w16cid:durableId="750156027">
    <w:abstractNumId w:val="15"/>
  </w:num>
  <w:num w:numId="23" w16cid:durableId="1031497038">
    <w:abstractNumId w:val="4"/>
  </w:num>
  <w:num w:numId="24" w16cid:durableId="1497107528">
    <w:abstractNumId w:val="36"/>
  </w:num>
  <w:num w:numId="25" w16cid:durableId="344748410">
    <w:abstractNumId w:val="33"/>
  </w:num>
  <w:num w:numId="26" w16cid:durableId="517812005">
    <w:abstractNumId w:val="44"/>
  </w:num>
  <w:num w:numId="27" w16cid:durableId="2048681452">
    <w:abstractNumId w:val="29"/>
  </w:num>
  <w:num w:numId="28" w16cid:durableId="466703626">
    <w:abstractNumId w:val="26"/>
  </w:num>
  <w:num w:numId="29" w16cid:durableId="1554273238">
    <w:abstractNumId w:val="43"/>
  </w:num>
  <w:num w:numId="30" w16cid:durableId="626356140">
    <w:abstractNumId w:val="17"/>
  </w:num>
  <w:num w:numId="31" w16cid:durableId="731079349">
    <w:abstractNumId w:val="39"/>
  </w:num>
  <w:num w:numId="32" w16cid:durableId="571551101">
    <w:abstractNumId w:val="22"/>
  </w:num>
  <w:num w:numId="33" w16cid:durableId="1958245677">
    <w:abstractNumId w:val="46"/>
  </w:num>
  <w:num w:numId="34" w16cid:durableId="50229666">
    <w:abstractNumId w:val="19"/>
  </w:num>
  <w:num w:numId="35" w16cid:durableId="760689047">
    <w:abstractNumId w:val="35"/>
  </w:num>
  <w:num w:numId="36" w16cid:durableId="1224832089">
    <w:abstractNumId w:val="34"/>
  </w:num>
  <w:num w:numId="37" w16cid:durableId="1747995687">
    <w:abstractNumId w:val="9"/>
  </w:num>
  <w:num w:numId="38" w16cid:durableId="413624406">
    <w:abstractNumId w:val="42"/>
  </w:num>
  <w:num w:numId="39" w16cid:durableId="820124113">
    <w:abstractNumId w:val="6"/>
  </w:num>
  <w:num w:numId="40" w16cid:durableId="446046451">
    <w:abstractNumId w:val="7"/>
  </w:num>
  <w:num w:numId="41" w16cid:durableId="1854950376">
    <w:abstractNumId w:val="24"/>
  </w:num>
  <w:num w:numId="42" w16cid:durableId="976446399">
    <w:abstractNumId w:val="0"/>
  </w:num>
  <w:num w:numId="43" w16cid:durableId="632368329">
    <w:abstractNumId w:val="41"/>
  </w:num>
  <w:num w:numId="44" w16cid:durableId="1441338086">
    <w:abstractNumId w:val="1"/>
  </w:num>
  <w:num w:numId="45" w16cid:durableId="1007294906">
    <w:abstractNumId w:val="16"/>
  </w:num>
  <w:num w:numId="46" w16cid:durableId="560139722">
    <w:abstractNumId w:val="37"/>
  </w:num>
  <w:num w:numId="47" w16cid:durableId="597715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C8"/>
    <w:rsid w:val="00007A6D"/>
    <w:rsid w:val="00023CE8"/>
    <w:rsid w:val="00024A34"/>
    <w:rsid w:val="00027CED"/>
    <w:rsid w:val="000328F1"/>
    <w:rsid w:val="000369CB"/>
    <w:rsid w:val="00044907"/>
    <w:rsid w:val="00045490"/>
    <w:rsid w:val="00053FEC"/>
    <w:rsid w:val="00056119"/>
    <w:rsid w:val="00061800"/>
    <w:rsid w:val="00061AF0"/>
    <w:rsid w:val="00072515"/>
    <w:rsid w:val="00083AF7"/>
    <w:rsid w:val="000908F9"/>
    <w:rsid w:val="00091902"/>
    <w:rsid w:val="00093947"/>
    <w:rsid w:val="000A196E"/>
    <w:rsid w:val="000A2575"/>
    <w:rsid w:val="000B2B91"/>
    <w:rsid w:val="000C1C3B"/>
    <w:rsid w:val="000D2885"/>
    <w:rsid w:val="001013E5"/>
    <w:rsid w:val="00120B90"/>
    <w:rsid w:val="00122BC1"/>
    <w:rsid w:val="00143B63"/>
    <w:rsid w:val="00157EAC"/>
    <w:rsid w:val="0016570A"/>
    <w:rsid w:val="0017546B"/>
    <w:rsid w:val="00176D47"/>
    <w:rsid w:val="0018081F"/>
    <w:rsid w:val="00185EF0"/>
    <w:rsid w:val="0019236F"/>
    <w:rsid w:val="001A1131"/>
    <w:rsid w:val="001B1B7A"/>
    <w:rsid w:val="001F7C65"/>
    <w:rsid w:val="0020090A"/>
    <w:rsid w:val="002027F3"/>
    <w:rsid w:val="00205EF9"/>
    <w:rsid w:val="00206A6F"/>
    <w:rsid w:val="002072CC"/>
    <w:rsid w:val="00247943"/>
    <w:rsid w:val="00247D18"/>
    <w:rsid w:val="00250984"/>
    <w:rsid w:val="0026428A"/>
    <w:rsid w:val="00270743"/>
    <w:rsid w:val="00281BF6"/>
    <w:rsid w:val="002839DB"/>
    <w:rsid w:val="00292DB3"/>
    <w:rsid w:val="00293F04"/>
    <w:rsid w:val="002952EE"/>
    <w:rsid w:val="002A01D2"/>
    <w:rsid w:val="002A2A9A"/>
    <w:rsid w:val="002A305B"/>
    <w:rsid w:val="002B00B8"/>
    <w:rsid w:val="002C0CF7"/>
    <w:rsid w:val="002C3307"/>
    <w:rsid w:val="002C545D"/>
    <w:rsid w:val="002D1C4E"/>
    <w:rsid w:val="002D1D1E"/>
    <w:rsid w:val="002E78A7"/>
    <w:rsid w:val="00300EE2"/>
    <w:rsid w:val="00313252"/>
    <w:rsid w:val="00317C2D"/>
    <w:rsid w:val="00324E7B"/>
    <w:rsid w:val="003430F1"/>
    <w:rsid w:val="003631F6"/>
    <w:rsid w:val="003821F4"/>
    <w:rsid w:val="00390128"/>
    <w:rsid w:val="00393C16"/>
    <w:rsid w:val="00394D65"/>
    <w:rsid w:val="003973D4"/>
    <w:rsid w:val="003B7A7F"/>
    <w:rsid w:val="003C3C99"/>
    <w:rsid w:val="003C4619"/>
    <w:rsid w:val="003D0A62"/>
    <w:rsid w:val="003E762A"/>
    <w:rsid w:val="00401815"/>
    <w:rsid w:val="004039FE"/>
    <w:rsid w:val="00422792"/>
    <w:rsid w:val="004377EF"/>
    <w:rsid w:val="00442BCE"/>
    <w:rsid w:val="004472B4"/>
    <w:rsid w:val="004564ED"/>
    <w:rsid w:val="00456B5A"/>
    <w:rsid w:val="004630C4"/>
    <w:rsid w:val="00471C61"/>
    <w:rsid w:val="0047750D"/>
    <w:rsid w:val="0048519C"/>
    <w:rsid w:val="004939A3"/>
    <w:rsid w:val="00494099"/>
    <w:rsid w:val="00495F47"/>
    <w:rsid w:val="00496180"/>
    <w:rsid w:val="004A0D11"/>
    <w:rsid w:val="004A3EB3"/>
    <w:rsid w:val="004A7E45"/>
    <w:rsid w:val="004B31A1"/>
    <w:rsid w:val="004D31A6"/>
    <w:rsid w:val="004F08B8"/>
    <w:rsid w:val="004F39AE"/>
    <w:rsid w:val="00513459"/>
    <w:rsid w:val="00586DB9"/>
    <w:rsid w:val="00597777"/>
    <w:rsid w:val="005A6761"/>
    <w:rsid w:val="005B05DC"/>
    <w:rsid w:val="005B0B9B"/>
    <w:rsid w:val="005C1426"/>
    <w:rsid w:val="005D00DD"/>
    <w:rsid w:val="005D2D66"/>
    <w:rsid w:val="005D786A"/>
    <w:rsid w:val="005F0257"/>
    <w:rsid w:val="005F038D"/>
    <w:rsid w:val="00601C1B"/>
    <w:rsid w:val="0061216F"/>
    <w:rsid w:val="006230D2"/>
    <w:rsid w:val="00632C1B"/>
    <w:rsid w:val="0063741D"/>
    <w:rsid w:val="00643F92"/>
    <w:rsid w:val="00646502"/>
    <w:rsid w:val="006470FA"/>
    <w:rsid w:val="00656A31"/>
    <w:rsid w:val="006675B9"/>
    <w:rsid w:val="006722EC"/>
    <w:rsid w:val="00682BB6"/>
    <w:rsid w:val="00682EC5"/>
    <w:rsid w:val="006915EE"/>
    <w:rsid w:val="006A11C8"/>
    <w:rsid w:val="006A2BFA"/>
    <w:rsid w:val="006B5222"/>
    <w:rsid w:val="006C2035"/>
    <w:rsid w:val="006C3BC4"/>
    <w:rsid w:val="006E3954"/>
    <w:rsid w:val="006F08C5"/>
    <w:rsid w:val="006F429C"/>
    <w:rsid w:val="00701D6B"/>
    <w:rsid w:val="00702513"/>
    <w:rsid w:val="0071052B"/>
    <w:rsid w:val="0072382F"/>
    <w:rsid w:val="00724EC6"/>
    <w:rsid w:val="00725761"/>
    <w:rsid w:val="007311A6"/>
    <w:rsid w:val="00746A22"/>
    <w:rsid w:val="00755BF1"/>
    <w:rsid w:val="00756167"/>
    <w:rsid w:val="007637FA"/>
    <w:rsid w:val="007639BA"/>
    <w:rsid w:val="00765D34"/>
    <w:rsid w:val="00770E9C"/>
    <w:rsid w:val="00774D22"/>
    <w:rsid w:val="0079704A"/>
    <w:rsid w:val="007A1BDE"/>
    <w:rsid w:val="007B4338"/>
    <w:rsid w:val="007C79CD"/>
    <w:rsid w:val="007C7C6C"/>
    <w:rsid w:val="007D0259"/>
    <w:rsid w:val="007D5B55"/>
    <w:rsid w:val="007E11C4"/>
    <w:rsid w:val="007E3EE7"/>
    <w:rsid w:val="007E7938"/>
    <w:rsid w:val="00810B3C"/>
    <w:rsid w:val="00826410"/>
    <w:rsid w:val="00830A10"/>
    <w:rsid w:val="008355C2"/>
    <w:rsid w:val="00853521"/>
    <w:rsid w:val="008812BC"/>
    <w:rsid w:val="00881D1D"/>
    <w:rsid w:val="00885059"/>
    <w:rsid w:val="008B5793"/>
    <w:rsid w:val="008C53D3"/>
    <w:rsid w:val="008E6916"/>
    <w:rsid w:val="008F2562"/>
    <w:rsid w:val="00900696"/>
    <w:rsid w:val="009027EC"/>
    <w:rsid w:val="009059EB"/>
    <w:rsid w:val="00910DE5"/>
    <w:rsid w:val="00927382"/>
    <w:rsid w:val="009316C3"/>
    <w:rsid w:val="009447EE"/>
    <w:rsid w:val="00950356"/>
    <w:rsid w:val="009560A4"/>
    <w:rsid w:val="0096388F"/>
    <w:rsid w:val="00981E0A"/>
    <w:rsid w:val="009A2FDF"/>
    <w:rsid w:val="009A5398"/>
    <w:rsid w:val="009D345B"/>
    <w:rsid w:val="009D4E5F"/>
    <w:rsid w:val="009E0EE0"/>
    <w:rsid w:val="009E4F5B"/>
    <w:rsid w:val="009E5E7C"/>
    <w:rsid w:val="009E7B62"/>
    <w:rsid w:val="009F7065"/>
    <w:rsid w:val="00A211DA"/>
    <w:rsid w:val="00A24BD6"/>
    <w:rsid w:val="00A40D31"/>
    <w:rsid w:val="00A43DB9"/>
    <w:rsid w:val="00A460D5"/>
    <w:rsid w:val="00A510E5"/>
    <w:rsid w:val="00A53737"/>
    <w:rsid w:val="00A56C46"/>
    <w:rsid w:val="00A94FB9"/>
    <w:rsid w:val="00A95784"/>
    <w:rsid w:val="00AA35D6"/>
    <w:rsid w:val="00AA6A9B"/>
    <w:rsid w:val="00AB2131"/>
    <w:rsid w:val="00AC2D24"/>
    <w:rsid w:val="00AC4C98"/>
    <w:rsid w:val="00AD6BAC"/>
    <w:rsid w:val="00AD6D13"/>
    <w:rsid w:val="00AD75E6"/>
    <w:rsid w:val="00AE4B97"/>
    <w:rsid w:val="00AF2EAA"/>
    <w:rsid w:val="00AF7E99"/>
    <w:rsid w:val="00B134B4"/>
    <w:rsid w:val="00B14871"/>
    <w:rsid w:val="00B203D2"/>
    <w:rsid w:val="00B2347E"/>
    <w:rsid w:val="00B2634E"/>
    <w:rsid w:val="00B516F7"/>
    <w:rsid w:val="00B62EB2"/>
    <w:rsid w:val="00B63423"/>
    <w:rsid w:val="00B77CF7"/>
    <w:rsid w:val="00B83025"/>
    <w:rsid w:val="00B90ADE"/>
    <w:rsid w:val="00B925D5"/>
    <w:rsid w:val="00B96358"/>
    <w:rsid w:val="00BA16A8"/>
    <w:rsid w:val="00BB1817"/>
    <w:rsid w:val="00C04E04"/>
    <w:rsid w:val="00C054D8"/>
    <w:rsid w:val="00C06D5D"/>
    <w:rsid w:val="00C125D0"/>
    <w:rsid w:val="00C31476"/>
    <w:rsid w:val="00C45D1F"/>
    <w:rsid w:val="00C712B6"/>
    <w:rsid w:val="00C851D5"/>
    <w:rsid w:val="00CA6FDD"/>
    <w:rsid w:val="00CC28C5"/>
    <w:rsid w:val="00CC337D"/>
    <w:rsid w:val="00CD01A8"/>
    <w:rsid w:val="00CD0D93"/>
    <w:rsid w:val="00CD2B6E"/>
    <w:rsid w:val="00CD67D4"/>
    <w:rsid w:val="00CE200F"/>
    <w:rsid w:val="00CF230E"/>
    <w:rsid w:val="00CF3EBE"/>
    <w:rsid w:val="00D071B2"/>
    <w:rsid w:val="00D14760"/>
    <w:rsid w:val="00D14F2E"/>
    <w:rsid w:val="00D23A83"/>
    <w:rsid w:val="00D24539"/>
    <w:rsid w:val="00D25ECE"/>
    <w:rsid w:val="00D36E83"/>
    <w:rsid w:val="00D43A4D"/>
    <w:rsid w:val="00D50AC1"/>
    <w:rsid w:val="00D560D6"/>
    <w:rsid w:val="00D563A6"/>
    <w:rsid w:val="00D65BD9"/>
    <w:rsid w:val="00D7060F"/>
    <w:rsid w:val="00D70687"/>
    <w:rsid w:val="00D70D96"/>
    <w:rsid w:val="00D75CC6"/>
    <w:rsid w:val="00D7724B"/>
    <w:rsid w:val="00DC0D5F"/>
    <w:rsid w:val="00DE18C8"/>
    <w:rsid w:val="00DE4732"/>
    <w:rsid w:val="00DE55EC"/>
    <w:rsid w:val="00DF0FAC"/>
    <w:rsid w:val="00E03072"/>
    <w:rsid w:val="00E142D6"/>
    <w:rsid w:val="00E322E2"/>
    <w:rsid w:val="00E437B6"/>
    <w:rsid w:val="00E67F49"/>
    <w:rsid w:val="00E706C9"/>
    <w:rsid w:val="00EA2A42"/>
    <w:rsid w:val="00EA48E3"/>
    <w:rsid w:val="00EC0DC8"/>
    <w:rsid w:val="00EC0FD6"/>
    <w:rsid w:val="00EC3E92"/>
    <w:rsid w:val="00EC6357"/>
    <w:rsid w:val="00ED0EB5"/>
    <w:rsid w:val="00ED2099"/>
    <w:rsid w:val="00EE2971"/>
    <w:rsid w:val="00EF23D9"/>
    <w:rsid w:val="00F06CC5"/>
    <w:rsid w:val="00F07B28"/>
    <w:rsid w:val="00F200EF"/>
    <w:rsid w:val="00F576B5"/>
    <w:rsid w:val="00F73C20"/>
    <w:rsid w:val="00F74A24"/>
    <w:rsid w:val="00F74DBC"/>
    <w:rsid w:val="00F74DDC"/>
    <w:rsid w:val="00F809D4"/>
    <w:rsid w:val="00FD3047"/>
    <w:rsid w:val="00FD40CC"/>
    <w:rsid w:val="00FD5404"/>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23EB2"/>
  <w15:chartTrackingRefBased/>
  <w15:docId w15:val="{6ECD182B-7E18-443C-8CE7-B5DC3A9D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EB"/>
    <w:rPr>
      <w:rFonts w:ascii="ARS Maquette Pro Light" w:hAnsi="ARS Maquette Pro Light"/>
    </w:rPr>
  </w:style>
  <w:style w:type="paragraph" w:styleId="Heading1">
    <w:name w:val="heading 1"/>
    <w:basedOn w:val="Normal"/>
    <w:link w:val="Heading1Char"/>
    <w:uiPriority w:val="9"/>
    <w:qFormat/>
    <w:rsid w:val="00D7724B"/>
    <w:pPr>
      <w:spacing w:before="40" w:after="120" w:line="240" w:lineRule="auto"/>
      <w:outlineLvl w:val="0"/>
    </w:pPr>
    <w:rPr>
      <w:rFonts w:eastAsia="Times New Roman" w:cs="Times New Roman"/>
      <w:b/>
      <w:bCs/>
      <w:color w:val="5B9BD5" w:themeColor="accent1"/>
      <w:kern w:val="36"/>
      <w:sz w:val="32"/>
      <w:szCs w:val="48"/>
    </w:rPr>
  </w:style>
  <w:style w:type="paragraph" w:styleId="Heading2">
    <w:name w:val="heading 2"/>
    <w:basedOn w:val="Normal"/>
    <w:next w:val="Normal"/>
    <w:link w:val="Heading2Char"/>
    <w:uiPriority w:val="9"/>
    <w:unhideWhenUsed/>
    <w:qFormat/>
    <w:rsid w:val="009D345B"/>
    <w:pPr>
      <w:keepNext/>
      <w:keepLines/>
      <w:spacing w:before="40" w:after="0"/>
      <w:outlineLvl w:val="1"/>
    </w:pPr>
    <w:rPr>
      <w:rFonts w:asciiTheme="majorHAnsi" w:eastAsiaTheme="majorEastAsia" w:hAnsiTheme="majorHAnsi" w:cstheme="majorBidi"/>
      <w:b/>
      <w:color w:val="2E74B5" w:themeColor="accent1" w:themeShade="BF"/>
      <w:sz w:val="28"/>
      <w:szCs w:val="26"/>
    </w:rPr>
  </w:style>
  <w:style w:type="paragraph" w:styleId="Heading3">
    <w:name w:val="heading 3"/>
    <w:basedOn w:val="Normal"/>
    <w:link w:val="Heading3Char"/>
    <w:uiPriority w:val="9"/>
    <w:qFormat/>
    <w:rsid w:val="00A510E5"/>
    <w:pPr>
      <w:spacing w:after="0" w:line="240" w:lineRule="auto"/>
      <w:outlineLvl w:val="2"/>
    </w:pPr>
    <w:rPr>
      <w:rFonts w:asciiTheme="majorHAnsi" w:eastAsia="Times New Roman" w:hAnsiTheme="majorHAnsi" w:cs="Times New Roman"/>
      <w:b/>
      <w:bCs/>
      <w:color w:val="2E74B5" w:themeColor="accent1" w:themeShade="BF"/>
      <w:sz w:val="24"/>
      <w:szCs w:val="27"/>
    </w:rPr>
  </w:style>
  <w:style w:type="paragraph" w:styleId="Heading4">
    <w:name w:val="heading 4"/>
    <w:basedOn w:val="Normal"/>
    <w:link w:val="Heading4Char"/>
    <w:uiPriority w:val="9"/>
    <w:qFormat/>
    <w:rsid w:val="00EA48E3"/>
    <w:pPr>
      <w:spacing w:before="40" w:after="40" w:line="240" w:lineRule="auto"/>
      <w:outlineLvl w:val="3"/>
    </w:pPr>
    <w:rPr>
      <w:rFonts w:asciiTheme="majorHAnsi" w:eastAsia="Times New Roman" w:hAnsiTheme="majorHAnsi" w:cs="Times New Roman"/>
      <w:b/>
      <w:bCs/>
      <w:color w:val="2E74B5" w:themeColor="accent1" w:themeShade="BF"/>
      <w:sz w:val="24"/>
      <w:szCs w:val="24"/>
      <w:u w:val="single"/>
    </w:rPr>
  </w:style>
  <w:style w:type="paragraph" w:styleId="Heading5">
    <w:name w:val="heading 5"/>
    <w:basedOn w:val="Normal"/>
    <w:next w:val="Normal"/>
    <w:link w:val="Heading5Char"/>
    <w:uiPriority w:val="9"/>
    <w:unhideWhenUsed/>
    <w:qFormat/>
    <w:rsid w:val="00CC28C5"/>
    <w:pPr>
      <w:keepNext/>
      <w:keepLines/>
      <w:spacing w:before="40" w:after="0"/>
      <w:ind w:left="144"/>
      <w:outlineLvl w:val="4"/>
    </w:pPr>
    <w:rPr>
      <w:rFonts w:asciiTheme="majorHAnsi" w:eastAsiaTheme="majorEastAsia" w:hAnsiTheme="majorHAnsi" w:cstheme="majorBidi"/>
      <w:b/>
      <w:i/>
      <w:color w:val="2E74B5" w:themeColor="accent1" w:themeShade="BF"/>
    </w:rPr>
  </w:style>
  <w:style w:type="paragraph" w:styleId="Heading6">
    <w:name w:val="heading 6"/>
    <w:basedOn w:val="Normal"/>
    <w:next w:val="Normal"/>
    <w:link w:val="Heading6Char"/>
    <w:uiPriority w:val="9"/>
    <w:unhideWhenUsed/>
    <w:qFormat/>
    <w:rsid w:val="00A24BD6"/>
    <w:pPr>
      <w:keepNext/>
      <w:keepLines/>
      <w:spacing w:before="40" w:after="0"/>
      <w:outlineLvl w:val="5"/>
    </w:pPr>
    <w:rPr>
      <w:rFonts w:asciiTheme="majorHAnsi" w:eastAsiaTheme="majorEastAsia" w:hAnsiTheme="majorHAnsi" w:cstheme="majorBidi"/>
      <w:b/>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24B"/>
    <w:rPr>
      <w:rFonts w:ascii="ARS Maquette Pro Light" w:eastAsia="Times New Roman" w:hAnsi="ARS Maquette Pro Light" w:cs="Times New Roman"/>
      <w:b/>
      <w:bCs/>
      <w:color w:val="5B9BD5" w:themeColor="accent1"/>
      <w:kern w:val="36"/>
      <w:sz w:val="32"/>
      <w:szCs w:val="48"/>
    </w:rPr>
  </w:style>
  <w:style w:type="character" w:customStyle="1" w:styleId="Heading3Char">
    <w:name w:val="Heading 3 Char"/>
    <w:basedOn w:val="DefaultParagraphFont"/>
    <w:link w:val="Heading3"/>
    <w:uiPriority w:val="9"/>
    <w:rsid w:val="00A510E5"/>
    <w:rPr>
      <w:rFonts w:asciiTheme="majorHAnsi" w:eastAsia="Times New Roman" w:hAnsiTheme="majorHAnsi" w:cs="Times New Roman"/>
      <w:b/>
      <w:bCs/>
      <w:color w:val="2E74B5" w:themeColor="accent1" w:themeShade="BF"/>
      <w:sz w:val="24"/>
      <w:szCs w:val="27"/>
    </w:rPr>
  </w:style>
  <w:style w:type="character" w:customStyle="1" w:styleId="Heading4Char">
    <w:name w:val="Heading 4 Char"/>
    <w:basedOn w:val="DefaultParagraphFont"/>
    <w:link w:val="Heading4"/>
    <w:uiPriority w:val="9"/>
    <w:rsid w:val="00EA48E3"/>
    <w:rPr>
      <w:rFonts w:asciiTheme="majorHAnsi" w:eastAsia="Times New Roman" w:hAnsiTheme="majorHAnsi" w:cs="Times New Roman"/>
      <w:b/>
      <w:bCs/>
      <w:color w:val="2E74B5" w:themeColor="accent1" w:themeShade="BF"/>
      <w:sz w:val="24"/>
      <w:szCs w:val="24"/>
      <w:u w:val="single"/>
    </w:rPr>
  </w:style>
  <w:style w:type="paragraph" w:styleId="NormalWeb">
    <w:name w:val="Normal (Web)"/>
    <w:basedOn w:val="Normal"/>
    <w:uiPriority w:val="99"/>
    <w:semiHidden/>
    <w:unhideWhenUsed/>
    <w:rsid w:val="00DE18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18C8"/>
    <w:rPr>
      <w:color w:val="0000FF"/>
      <w:u w:val="single"/>
    </w:rPr>
  </w:style>
  <w:style w:type="paragraph" w:styleId="Title">
    <w:name w:val="Title"/>
    <w:basedOn w:val="Normal"/>
    <w:next w:val="Normal"/>
    <w:link w:val="TitleChar"/>
    <w:uiPriority w:val="10"/>
    <w:qFormat/>
    <w:rsid w:val="00586DB9"/>
    <w:pPr>
      <w:spacing w:after="0" w:line="240" w:lineRule="auto"/>
      <w:contextualSpacing/>
    </w:pPr>
    <w:rPr>
      <w:rFonts w:eastAsiaTheme="majorEastAsia" w:cstheme="majorBidi"/>
      <w:color w:val="5B9BD5" w:themeColor="accent1"/>
      <w:spacing w:val="-10"/>
      <w:kern w:val="28"/>
      <w:sz w:val="32"/>
      <w:szCs w:val="56"/>
    </w:rPr>
  </w:style>
  <w:style w:type="character" w:customStyle="1" w:styleId="TitleChar">
    <w:name w:val="Title Char"/>
    <w:basedOn w:val="DefaultParagraphFont"/>
    <w:link w:val="Title"/>
    <w:uiPriority w:val="10"/>
    <w:rsid w:val="00586DB9"/>
    <w:rPr>
      <w:rFonts w:ascii="ARS Maquette Pro Light" w:eastAsiaTheme="majorEastAsia" w:hAnsi="ARS Maquette Pro Light" w:cstheme="majorBidi"/>
      <w:color w:val="5B9BD5" w:themeColor="accent1"/>
      <w:spacing w:val="-10"/>
      <w:kern w:val="28"/>
      <w:sz w:val="32"/>
      <w:szCs w:val="56"/>
    </w:rPr>
  </w:style>
  <w:style w:type="paragraph" w:styleId="ListParagraph">
    <w:name w:val="List Paragraph"/>
    <w:basedOn w:val="Normal"/>
    <w:uiPriority w:val="34"/>
    <w:qFormat/>
    <w:rsid w:val="0017546B"/>
    <w:pPr>
      <w:ind w:left="720"/>
      <w:contextualSpacing/>
    </w:pPr>
  </w:style>
  <w:style w:type="paragraph" w:styleId="TOC1">
    <w:name w:val="toc 1"/>
    <w:basedOn w:val="Normal"/>
    <w:next w:val="Normal"/>
    <w:autoRedefine/>
    <w:uiPriority w:val="39"/>
    <w:unhideWhenUsed/>
    <w:rsid w:val="00BB1817"/>
    <w:pPr>
      <w:tabs>
        <w:tab w:val="right" w:leader="dot" w:pos="10790"/>
      </w:tabs>
      <w:spacing w:after="100"/>
    </w:pPr>
  </w:style>
  <w:style w:type="character" w:customStyle="1" w:styleId="Heading2Char">
    <w:name w:val="Heading 2 Char"/>
    <w:basedOn w:val="DefaultParagraphFont"/>
    <w:link w:val="Heading2"/>
    <w:uiPriority w:val="9"/>
    <w:rsid w:val="00BB1817"/>
    <w:rPr>
      <w:rFonts w:asciiTheme="majorHAnsi" w:eastAsiaTheme="majorEastAsia" w:hAnsiTheme="majorHAnsi" w:cstheme="majorBidi"/>
      <w:b/>
      <w:color w:val="2E74B5" w:themeColor="accent1" w:themeShade="BF"/>
      <w:sz w:val="28"/>
      <w:szCs w:val="26"/>
    </w:rPr>
  </w:style>
  <w:style w:type="paragraph" w:styleId="TOC2">
    <w:name w:val="toc 2"/>
    <w:basedOn w:val="Normal"/>
    <w:next w:val="Normal"/>
    <w:autoRedefine/>
    <w:uiPriority w:val="39"/>
    <w:unhideWhenUsed/>
    <w:rsid w:val="004A3EB3"/>
    <w:pPr>
      <w:spacing w:after="100"/>
      <w:ind w:left="220"/>
    </w:pPr>
  </w:style>
  <w:style w:type="character" w:customStyle="1" w:styleId="Heading5Char">
    <w:name w:val="Heading 5 Char"/>
    <w:basedOn w:val="DefaultParagraphFont"/>
    <w:link w:val="Heading5"/>
    <w:uiPriority w:val="9"/>
    <w:rsid w:val="00CC28C5"/>
    <w:rPr>
      <w:rFonts w:asciiTheme="majorHAnsi" w:eastAsiaTheme="majorEastAsia" w:hAnsiTheme="majorHAnsi" w:cstheme="majorBidi"/>
      <w:b/>
      <w:i/>
      <w:color w:val="2E74B5" w:themeColor="accent1" w:themeShade="BF"/>
    </w:rPr>
  </w:style>
  <w:style w:type="paragraph" w:styleId="Header">
    <w:name w:val="header"/>
    <w:basedOn w:val="Normal"/>
    <w:link w:val="HeaderChar"/>
    <w:uiPriority w:val="99"/>
    <w:unhideWhenUsed/>
    <w:rsid w:val="00701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D6B"/>
    <w:rPr>
      <w:rFonts w:ascii="ARS Maquette Pro Light" w:hAnsi="ARS Maquette Pro Light"/>
    </w:rPr>
  </w:style>
  <w:style w:type="paragraph" w:styleId="Footer">
    <w:name w:val="footer"/>
    <w:basedOn w:val="Normal"/>
    <w:link w:val="FooterChar"/>
    <w:uiPriority w:val="99"/>
    <w:unhideWhenUsed/>
    <w:rsid w:val="00701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D6B"/>
    <w:rPr>
      <w:rFonts w:ascii="ARS Maquette Pro Light" w:hAnsi="ARS Maquette Pro Light"/>
    </w:rPr>
  </w:style>
  <w:style w:type="paragraph" w:styleId="TOC4">
    <w:name w:val="toc 4"/>
    <w:basedOn w:val="Normal"/>
    <w:next w:val="Normal"/>
    <w:autoRedefine/>
    <w:uiPriority w:val="39"/>
    <w:unhideWhenUsed/>
    <w:rsid w:val="00B516F7"/>
    <w:pPr>
      <w:spacing w:after="100"/>
      <w:ind w:left="660"/>
    </w:pPr>
  </w:style>
  <w:style w:type="paragraph" w:styleId="TOC5">
    <w:name w:val="toc 5"/>
    <w:basedOn w:val="Normal"/>
    <w:next w:val="Normal"/>
    <w:autoRedefine/>
    <w:uiPriority w:val="39"/>
    <w:unhideWhenUsed/>
    <w:rsid w:val="00B516F7"/>
    <w:pPr>
      <w:spacing w:after="100"/>
      <w:ind w:left="880"/>
    </w:pPr>
  </w:style>
  <w:style w:type="character" w:customStyle="1" w:styleId="Heading6Char">
    <w:name w:val="Heading 6 Char"/>
    <w:basedOn w:val="DefaultParagraphFont"/>
    <w:link w:val="Heading6"/>
    <w:uiPriority w:val="9"/>
    <w:rsid w:val="00A24BD6"/>
    <w:rPr>
      <w:rFonts w:asciiTheme="majorHAnsi" w:eastAsiaTheme="majorEastAsia" w:hAnsiTheme="majorHAnsi" w:cstheme="majorBidi"/>
      <w:b/>
      <w:color w:val="2E74B5" w:themeColor="accent1" w:themeShade="BF"/>
    </w:rPr>
  </w:style>
  <w:style w:type="paragraph" w:styleId="TOC3">
    <w:name w:val="toc 3"/>
    <w:basedOn w:val="Normal"/>
    <w:next w:val="Normal"/>
    <w:autoRedefine/>
    <w:uiPriority w:val="39"/>
    <w:unhideWhenUsed/>
    <w:rsid w:val="00601C1B"/>
    <w:pPr>
      <w:spacing w:after="100"/>
      <w:ind w:left="440"/>
    </w:pPr>
  </w:style>
  <w:style w:type="paragraph" w:styleId="TOC6">
    <w:name w:val="toc 6"/>
    <w:basedOn w:val="Normal"/>
    <w:next w:val="Normal"/>
    <w:autoRedefine/>
    <w:uiPriority w:val="39"/>
    <w:unhideWhenUsed/>
    <w:rsid w:val="00601C1B"/>
    <w:pPr>
      <w:spacing w:after="100"/>
      <w:ind w:left="1100"/>
    </w:pPr>
  </w:style>
  <w:style w:type="character" w:styleId="FollowedHyperlink">
    <w:name w:val="FollowedHyperlink"/>
    <w:basedOn w:val="DefaultParagraphFont"/>
    <w:uiPriority w:val="99"/>
    <w:semiHidden/>
    <w:unhideWhenUsed/>
    <w:rsid w:val="005F0257"/>
    <w:rPr>
      <w:color w:val="954F72" w:themeColor="followedHyperlink"/>
      <w:u w:val="single"/>
    </w:rPr>
  </w:style>
  <w:style w:type="paragraph" w:styleId="NoSpacing">
    <w:name w:val="No Spacing"/>
    <w:link w:val="NoSpacingChar"/>
    <w:uiPriority w:val="1"/>
    <w:qFormat/>
    <w:rsid w:val="009D345B"/>
    <w:pPr>
      <w:spacing w:after="0" w:line="240" w:lineRule="auto"/>
    </w:pPr>
    <w:rPr>
      <w:rFonts w:ascii="ARS Maquette Pro Light" w:hAnsi="ARS Maquette Pro Light"/>
      <w:sz w:val="20"/>
    </w:rPr>
  </w:style>
  <w:style w:type="character" w:customStyle="1" w:styleId="NoSpacingChar">
    <w:name w:val="No Spacing Char"/>
    <w:basedOn w:val="DefaultParagraphFont"/>
    <w:link w:val="NoSpacing"/>
    <w:uiPriority w:val="1"/>
    <w:rsid w:val="00586DB9"/>
    <w:rPr>
      <w:rFonts w:ascii="ARS Maquette Pro Light" w:hAnsi="ARS Maquette Pro Light"/>
      <w:sz w:val="20"/>
    </w:rPr>
  </w:style>
  <w:style w:type="paragraph" w:styleId="BalloonText">
    <w:name w:val="Balloon Text"/>
    <w:basedOn w:val="Normal"/>
    <w:link w:val="BalloonTextChar"/>
    <w:uiPriority w:val="99"/>
    <w:semiHidden/>
    <w:unhideWhenUsed/>
    <w:rsid w:val="003E7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273">
      <w:bodyDiv w:val="1"/>
      <w:marLeft w:val="0"/>
      <w:marRight w:val="0"/>
      <w:marTop w:val="0"/>
      <w:marBottom w:val="0"/>
      <w:divBdr>
        <w:top w:val="none" w:sz="0" w:space="0" w:color="auto"/>
        <w:left w:val="none" w:sz="0" w:space="0" w:color="auto"/>
        <w:bottom w:val="none" w:sz="0" w:space="0" w:color="auto"/>
        <w:right w:val="none" w:sz="0" w:space="0" w:color="auto"/>
      </w:divBdr>
    </w:div>
    <w:div w:id="1140616109">
      <w:bodyDiv w:val="1"/>
      <w:marLeft w:val="0"/>
      <w:marRight w:val="0"/>
      <w:marTop w:val="0"/>
      <w:marBottom w:val="0"/>
      <w:divBdr>
        <w:top w:val="none" w:sz="0" w:space="0" w:color="auto"/>
        <w:left w:val="none" w:sz="0" w:space="0" w:color="auto"/>
        <w:bottom w:val="none" w:sz="0" w:space="0" w:color="auto"/>
        <w:right w:val="none" w:sz="0" w:space="0" w:color="auto"/>
      </w:divBdr>
      <w:divsChild>
        <w:div w:id="535852889">
          <w:marLeft w:val="180"/>
          <w:marRight w:val="0"/>
          <w:marTop w:val="0"/>
          <w:marBottom w:val="0"/>
          <w:divBdr>
            <w:top w:val="none" w:sz="0" w:space="0" w:color="auto"/>
            <w:left w:val="none" w:sz="0" w:space="0" w:color="auto"/>
            <w:bottom w:val="none" w:sz="0" w:space="0" w:color="auto"/>
            <w:right w:val="none" w:sz="0" w:space="0" w:color="auto"/>
          </w:divBdr>
        </w:div>
      </w:divsChild>
    </w:div>
    <w:div w:id="12752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tholyoke.edu/financial/checkreturnpolicy" TargetMode="External"/><Relationship Id="rId18" Type="http://schemas.openxmlformats.org/officeDocument/2006/relationships/hyperlink" Target="https://www.mtholyoke.edu/financial/travel_reimb/travelagencies" TargetMode="External"/><Relationship Id="rId26" Type="http://schemas.openxmlformats.org/officeDocument/2006/relationships/hyperlink" Target="https://www.mtholyoke.edu/hr/handbook/personal_car" TargetMode="External"/><Relationship Id="rId39" Type="http://schemas.openxmlformats.org/officeDocument/2006/relationships/hyperlink" Target="https://www.oanda.com/currency/converter/" TargetMode="External"/><Relationship Id="rId21" Type="http://schemas.openxmlformats.org/officeDocument/2006/relationships/hyperlink" Target="https://www.mtholyoke.edu/financial/nonimmigration-guidelines" TargetMode="External"/><Relationship Id="rId34" Type="http://schemas.openxmlformats.org/officeDocument/2006/relationships/hyperlink" Target="https://www.mtholyoke.edu/purchasing/travel" TargetMode="External"/><Relationship Id="rId42" Type="http://schemas.openxmlformats.org/officeDocument/2006/relationships/hyperlink" Target="https://www.mtholyoke.edu/purchasing/for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tholyoke.edu/financial/forms" TargetMode="External"/><Relationship Id="rId29" Type="http://schemas.openxmlformats.org/officeDocument/2006/relationships/hyperlink" Target="https://www.mtholyoke.edu/financial/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holyoke.edu/financial/forms" TargetMode="External"/><Relationship Id="rId24" Type="http://schemas.openxmlformats.org/officeDocument/2006/relationships/hyperlink" Target="https://www.fivecolleges.edu/riskmgmt/policies/accidents" TargetMode="External"/><Relationship Id="rId32" Type="http://schemas.openxmlformats.org/officeDocument/2006/relationships/hyperlink" Target="https://www.mtholyoke.edu/purchasing/car-rentals" TargetMode="External"/><Relationship Id="rId37" Type="http://schemas.openxmlformats.org/officeDocument/2006/relationships/hyperlink" Target="https://www.mtholyoke.edu/financial/forms" TargetMode="External"/><Relationship Id="rId40" Type="http://schemas.openxmlformats.org/officeDocument/2006/relationships/hyperlink" Target="https://www.mtholyoke.edu/financial/form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tholyoke.edu/financial/forms" TargetMode="External"/><Relationship Id="rId23" Type="http://schemas.openxmlformats.org/officeDocument/2006/relationships/hyperlink" Target="https://www.fivecolleges.edu/riskmgmt/intltravel/faculty_intl" TargetMode="External"/><Relationship Id="rId28" Type="http://schemas.openxmlformats.org/officeDocument/2006/relationships/hyperlink" Target="https://www.mtholyoke.edu/purchasing/regalia" TargetMode="External"/><Relationship Id="rId36" Type="http://schemas.openxmlformats.org/officeDocument/2006/relationships/hyperlink" Target="https://www.mtholyoke.edu/financial/forms" TargetMode="External"/><Relationship Id="rId10" Type="http://schemas.openxmlformats.org/officeDocument/2006/relationships/hyperlink" Target="https://www.mtholyoke.edu/financial/travel_reimb/advances" TargetMode="External"/><Relationship Id="rId19" Type="http://schemas.openxmlformats.org/officeDocument/2006/relationships/hyperlink" Target="https://www.mtholyoke.edu/financial/forms" TargetMode="External"/><Relationship Id="rId31" Type="http://schemas.openxmlformats.org/officeDocument/2006/relationships/hyperlink" Target="https://www.fivecolleges.edu/riskmgmt/policies/aut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tholyoke.edu/financial/travel_reimb/spousepartnertravel" TargetMode="External"/><Relationship Id="rId14" Type="http://schemas.openxmlformats.org/officeDocument/2006/relationships/hyperlink" Target="https://www.mtholyoke.edu/financial/travel_reimb/amex" TargetMode="External"/><Relationship Id="rId22" Type="http://schemas.openxmlformats.org/officeDocument/2006/relationships/hyperlink" Target="https://www.mtholyoke.edu/deanoffaculty/current_faculty/grants" TargetMode="External"/><Relationship Id="rId27" Type="http://schemas.openxmlformats.org/officeDocument/2006/relationships/hyperlink" Target="https://www.mtholyoke.edu/financial/travel_reimb/cellphone" TargetMode="External"/><Relationship Id="rId30" Type="http://schemas.openxmlformats.org/officeDocument/2006/relationships/hyperlink" Target="https://www.irs.gov/tax-professionals/standard-mileage-rates" TargetMode="External"/><Relationship Id="rId35" Type="http://schemas.openxmlformats.org/officeDocument/2006/relationships/hyperlink" Target="https://www.mtholyoke.edu/purchasing/preferred-supplier-list-and-discounts" TargetMode="External"/><Relationship Id="rId43" Type="http://schemas.openxmlformats.org/officeDocument/2006/relationships/footer" Target="footer1.xml"/><Relationship Id="rId8" Type="http://schemas.openxmlformats.org/officeDocument/2006/relationships/hyperlink" Target="https://www.mtholyoke.edu/purchasing" TargetMode="External"/><Relationship Id="rId3" Type="http://schemas.openxmlformats.org/officeDocument/2006/relationships/styles" Target="styles.xml"/><Relationship Id="rId12" Type="http://schemas.openxmlformats.org/officeDocument/2006/relationships/hyperlink" Target="https://www.mtholyoke.edu/financial/forms" TargetMode="External"/><Relationship Id="rId17" Type="http://schemas.openxmlformats.org/officeDocument/2006/relationships/hyperlink" Target="https://www.mtholyoke.edu/financial/forms" TargetMode="External"/><Relationship Id="rId25" Type="http://schemas.openxmlformats.org/officeDocument/2006/relationships/hyperlink" Target="https://www.fivecolleges.edu/riskmgmt/policies/accidents" TargetMode="External"/><Relationship Id="rId33" Type="http://schemas.openxmlformats.org/officeDocument/2006/relationships/hyperlink" Target="https://www.fivecolleges.edu/riskmgmt/intltravel/faculty_intl" TargetMode="External"/><Relationship Id="rId38" Type="http://schemas.openxmlformats.org/officeDocument/2006/relationships/hyperlink" Target="https://www.mtholyoke.edu/sites/default/files/financial/docs/MHC_AP_Missing_Receipt_Affidavit_Form.pdf" TargetMode="External"/><Relationship Id="rId20" Type="http://schemas.openxmlformats.org/officeDocument/2006/relationships/hyperlink" Target="https://www.mtholyoke.edu/purchasing" TargetMode="External"/><Relationship Id="rId41" Type="http://schemas.openxmlformats.org/officeDocument/2006/relationships/hyperlink" Target="https://www.mtholyoke.edu/financia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C981F-0FEE-4328-AD35-406101C4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6188</Words>
  <Characters>34932</Characters>
  <Application>Microsoft Office Word</Application>
  <DocSecurity>10</DocSecurity>
  <Lines>617</Lines>
  <Paragraphs>344</Paragraphs>
  <ScaleCrop>false</ScaleCrop>
  <HeadingPairs>
    <vt:vector size="2" baseType="variant">
      <vt:variant>
        <vt:lpstr>Title</vt:lpstr>
      </vt:variant>
      <vt:variant>
        <vt:i4>1</vt:i4>
      </vt:variant>
    </vt:vector>
  </HeadingPairs>
  <TitlesOfParts>
    <vt:vector size="1" baseType="lpstr">
      <vt:lpstr>Expense and Reimbursement Guidelines</vt:lpstr>
    </vt:vector>
  </TitlesOfParts>
  <Manager/>
  <Company/>
  <LinksUpToDate>false</LinksUpToDate>
  <CharactersWithSpaces>40910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 and Reimbursement Guidelines</dc:title>
  <dc:subject/>
  <dc:creator>Academic Year 2019-20 v1.0</dc:creator>
  <cp:keywords/>
  <dc:description/>
  <cp:lastModifiedBy>Microsoft Office User</cp:lastModifiedBy>
  <cp:revision>6</cp:revision>
  <cp:lastPrinted>2019-10-10T17:21:00Z</cp:lastPrinted>
  <dcterms:created xsi:type="dcterms:W3CDTF">2025-03-12T18:10:00Z</dcterms:created>
  <dcterms:modified xsi:type="dcterms:W3CDTF">2025-03-12T18:13:00Z</dcterms:modified>
  <cp:category/>
</cp:coreProperties>
</file>