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83A8E44" w14:textId="77777777" w:rsidR="00FB64CE" w:rsidRDefault="004D6679">
      <w:pPr>
        <w:pStyle w:val="Normal1"/>
        <w:spacing w:after="0" w:line="240" w:lineRule="auto"/>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Multicultural Community and College Life Committee (MCCL) </w:t>
      </w:r>
    </w:p>
    <w:p w14:paraId="59709BD2" w14:textId="77777777" w:rsidR="00FB64CE" w:rsidRDefault="004D6679">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sidR="0016633D">
        <w:rPr>
          <w:rFonts w:ascii="Times New Roman" w:eastAsia="Times New Roman" w:hAnsi="Times New Roman" w:cs="Times New Roman"/>
          <w:b/>
          <w:sz w:val="24"/>
          <w:szCs w:val="24"/>
        </w:rPr>
        <w:t>nnual Report to the Faculty 2017-2018</w:t>
      </w:r>
    </w:p>
    <w:p w14:paraId="5016AE51" w14:textId="77777777" w:rsidR="00FB64CE" w:rsidRDefault="00FB64CE">
      <w:pPr>
        <w:pStyle w:val="Normal1"/>
        <w:spacing w:after="0" w:line="240" w:lineRule="auto"/>
        <w:jc w:val="center"/>
        <w:rPr>
          <w:rFonts w:ascii="Times New Roman" w:eastAsia="Times New Roman" w:hAnsi="Times New Roman" w:cs="Times New Roman"/>
          <w:b/>
          <w:sz w:val="24"/>
          <w:szCs w:val="24"/>
        </w:rPr>
      </w:pPr>
    </w:p>
    <w:p w14:paraId="112A29E7" w14:textId="77777777" w:rsidR="00FB64CE" w:rsidRDefault="004D667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mission, tasks, and responsibilities please see the MCCL website: </w:t>
      </w:r>
      <w:hyperlink r:id="rId6">
        <w:r>
          <w:rPr>
            <w:rFonts w:ascii="Times New Roman" w:eastAsia="Times New Roman" w:hAnsi="Times New Roman" w:cs="Times New Roman"/>
            <w:color w:val="0563C1"/>
            <w:sz w:val="24"/>
            <w:szCs w:val="24"/>
            <w:u w:val="single"/>
          </w:rPr>
          <w:t>https://www.mtholyoke.edu/diversity-and-inclusion/multicultural_life</w:t>
        </w:r>
      </w:hyperlink>
    </w:p>
    <w:p w14:paraId="1996398B" w14:textId="77777777" w:rsidR="00FB64CE" w:rsidRDefault="00FB64CE">
      <w:pPr>
        <w:pStyle w:val="Normal1"/>
        <w:spacing w:after="0"/>
        <w:jc w:val="center"/>
        <w:rPr>
          <w:rFonts w:ascii="Times New Roman" w:eastAsia="Times New Roman" w:hAnsi="Times New Roman" w:cs="Times New Roman"/>
          <w:sz w:val="24"/>
          <w:szCs w:val="24"/>
        </w:rPr>
      </w:pPr>
    </w:p>
    <w:p w14:paraId="7D9F6837" w14:textId="77777777" w:rsidR="001A517A" w:rsidRDefault="001A517A">
      <w:pPr>
        <w:pStyle w:val="Normal1"/>
        <w:spacing w:after="0"/>
        <w:jc w:val="center"/>
        <w:rPr>
          <w:rFonts w:ascii="Times New Roman" w:eastAsia="Times New Roman" w:hAnsi="Times New Roman" w:cs="Times New Roman"/>
          <w:sz w:val="24"/>
          <w:szCs w:val="24"/>
        </w:rPr>
      </w:pPr>
    </w:p>
    <w:p w14:paraId="332A4CEF" w14:textId="32DB4F5E" w:rsidR="00FB64CE" w:rsidRDefault="005952E7">
      <w:pPr>
        <w:pStyle w:val="Normal1"/>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Committee Members 2017-2018</w:t>
      </w:r>
    </w:p>
    <w:p w14:paraId="78D63294" w14:textId="77777777" w:rsidR="00FB64CE" w:rsidRDefault="004D667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The Multicultural Community and College Life Committee (MCCL) includes Mount Holyoke faculty, administrators, staff, and students. The following individuals served on the Committee during the 2016-2017 Academic Year</w:t>
      </w:r>
    </w:p>
    <w:tbl>
      <w:tblPr>
        <w:tblStyle w:val="a"/>
        <w:tblW w:w="8835"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550"/>
        <w:gridCol w:w="6285"/>
      </w:tblGrid>
      <w:tr w:rsidR="00FB64CE" w14:paraId="5BD13652" w14:textId="77777777" w:rsidTr="008F5E00">
        <w:trPr>
          <w:cnfStyle w:val="100000000000" w:firstRow="1" w:lastRow="0" w:firstColumn="0" w:lastColumn="0" w:oddVBand="0" w:evenVBand="0" w:oddHBand="0" w:evenHBand="0" w:firstRowFirstColumn="0" w:firstRowLastColumn="0" w:lastRowFirstColumn="0" w:lastRowLastColumn="0"/>
          <w:trHeight w:val="332"/>
          <w:jc w:val="center"/>
        </w:trPr>
        <w:tc>
          <w:tcPr>
            <w:cnfStyle w:val="001000000000" w:firstRow="0" w:lastRow="0" w:firstColumn="1" w:lastColumn="0" w:oddVBand="0" w:evenVBand="0" w:oddHBand="0" w:evenHBand="0" w:firstRowFirstColumn="0" w:firstRowLastColumn="0" w:lastRowFirstColumn="0" w:lastRowLastColumn="0"/>
            <w:tcW w:w="2550" w:type="dxa"/>
          </w:tcPr>
          <w:p w14:paraId="4C5F5C17" w14:textId="77777777" w:rsidR="00FB64CE" w:rsidRDefault="004D6679">
            <w:pPr>
              <w:pStyle w:val="Normal1"/>
              <w:rPr>
                <w:rFonts w:ascii="Times New Roman" w:eastAsia="Times New Roman" w:hAnsi="Times New Roman" w:cs="Times New Roman"/>
              </w:rPr>
            </w:pPr>
            <w:r>
              <w:rPr>
                <w:rFonts w:ascii="Times New Roman" w:eastAsia="Times New Roman" w:hAnsi="Times New Roman" w:cs="Times New Roman"/>
              </w:rPr>
              <w:t>Member</w:t>
            </w:r>
          </w:p>
        </w:tc>
        <w:tc>
          <w:tcPr>
            <w:tcW w:w="6285" w:type="dxa"/>
          </w:tcPr>
          <w:p w14:paraId="015CAFCF" w14:textId="77777777" w:rsidR="00FB64CE" w:rsidRDefault="004D6679">
            <w:pPr>
              <w:pStyle w:val="Normal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Affiliation</w:t>
            </w:r>
          </w:p>
        </w:tc>
      </w:tr>
      <w:tr w:rsidR="00FB64CE" w14:paraId="4DAAA772" w14:textId="77777777" w:rsidTr="00FB64CE">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2550" w:type="dxa"/>
          </w:tcPr>
          <w:p w14:paraId="56CB370B" w14:textId="77777777" w:rsidR="00FB64CE" w:rsidRDefault="004D6679">
            <w:pPr>
              <w:pStyle w:val="Normal1"/>
              <w:rPr>
                <w:rFonts w:ascii="Times New Roman" w:eastAsia="Times New Roman" w:hAnsi="Times New Roman" w:cs="Times New Roman"/>
              </w:rPr>
            </w:pPr>
            <w:r>
              <w:rPr>
                <w:rFonts w:ascii="Times New Roman" w:eastAsia="Times New Roman" w:hAnsi="Times New Roman" w:cs="Times New Roman"/>
                <w:b w:val="0"/>
              </w:rPr>
              <w:t xml:space="preserve">Latrina Denson </w:t>
            </w:r>
          </w:p>
        </w:tc>
        <w:tc>
          <w:tcPr>
            <w:tcW w:w="6285" w:type="dxa"/>
          </w:tcPr>
          <w:p w14:paraId="4D0B82ED" w14:textId="77777777" w:rsidR="00FB64CE" w:rsidRDefault="004D6679">
            <w:pPr>
              <w:pStyle w:val="Norm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Assistant Dean of Students</w:t>
            </w:r>
          </w:p>
        </w:tc>
      </w:tr>
      <w:tr w:rsidR="00B00C50" w14:paraId="6D5BF634" w14:textId="77777777" w:rsidTr="00D80783">
        <w:trPr>
          <w:trHeight w:val="280"/>
          <w:jc w:val="center"/>
        </w:trPr>
        <w:tc>
          <w:tcPr>
            <w:cnfStyle w:val="001000000000" w:firstRow="0" w:lastRow="0" w:firstColumn="1" w:lastColumn="0" w:oddVBand="0" w:evenVBand="0" w:oddHBand="0" w:evenHBand="0" w:firstRowFirstColumn="0" w:firstRowLastColumn="0" w:lastRowFirstColumn="0" w:lastRowLastColumn="0"/>
            <w:tcW w:w="2550" w:type="dxa"/>
          </w:tcPr>
          <w:p w14:paraId="3EF65C5F" w14:textId="370AFE9D" w:rsidR="00B00C50" w:rsidRDefault="00B00C50" w:rsidP="00C26CAC">
            <w:pPr>
              <w:pStyle w:val="Normal1"/>
              <w:rPr>
                <w:rFonts w:ascii="Times New Roman" w:eastAsia="Times New Roman" w:hAnsi="Times New Roman" w:cs="Times New Roman"/>
                <w:b w:val="0"/>
              </w:rPr>
            </w:pPr>
            <w:r>
              <w:rPr>
                <w:rFonts w:ascii="Times New Roman" w:eastAsia="Times New Roman" w:hAnsi="Times New Roman" w:cs="Times New Roman"/>
                <w:b w:val="0"/>
              </w:rPr>
              <w:t>Audrey Lee</w:t>
            </w:r>
            <w:r w:rsidR="00C26CAC">
              <w:rPr>
                <w:rFonts w:ascii="Times New Roman" w:eastAsia="Times New Roman" w:hAnsi="Times New Roman" w:cs="Times New Roman"/>
                <w:b w:val="0"/>
              </w:rPr>
              <w:t>-</w:t>
            </w:r>
            <w:r>
              <w:rPr>
                <w:rFonts w:ascii="Times New Roman" w:eastAsia="Times New Roman" w:hAnsi="Times New Roman" w:cs="Times New Roman"/>
                <w:b w:val="0"/>
              </w:rPr>
              <w:t>St. John</w:t>
            </w:r>
          </w:p>
        </w:tc>
        <w:tc>
          <w:tcPr>
            <w:tcW w:w="6285" w:type="dxa"/>
          </w:tcPr>
          <w:p w14:paraId="0C427A56" w14:textId="77777777" w:rsidR="00B00C50" w:rsidRDefault="00B00C50" w:rsidP="00D80783">
            <w:pPr>
              <w:pStyle w:val="Norm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Associate Professor of Computer Science</w:t>
            </w:r>
          </w:p>
        </w:tc>
      </w:tr>
      <w:tr w:rsidR="00A7499F" w14:paraId="002C6A9D" w14:textId="77777777" w:rsidTr="00AC3F0D">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2550" w:type="dxa"/>
          </w:tcPr>
          <w:p w14:paraId="35169AF0" w14:textId="77777777" w:rsidR="00A7499F" w:rsidRPr="00A7499F" w:rsidRDefault="00A7499F" w:rsidP="00AC3F0D">
            <w:pPr>
              <w:pStyle w:val="Normal1"/>
              <w:rPr>
                <w:rFonts w:ascii="Times New Roman" w:eastAsia="Times New Roman" w:hAnsi="Times New Roman" w:cs="Times New Roman"/>
                <w:b w:val="0"/>
              </w:rPr>
            </w:pPr>
            <w:r>
              <w:rPr>
                <w:rFonts w:ascii="Times New Roman" w:eastAsia="Times New Roman" w:hAnsi="Times New Roman" w:cs="Times New Roman"/>
                <w:b w:val="0"/>
              </w:rPr>
              <w:t>Anpa’o Locke</w:t>
            </w:r>
          </w:p>
        </w:tc>
        <w:tc>
          <w:tcPr>
            <w:tcW w:w="6285" w:type="dxa"/>
          </w:tcPr>
          <w:p w14:paraId="3F42C92C" w14:textId="11A45E8C" w:rsidR="00A7499F" w:rsidRDefault="00A7499F" w:rsidP="00AC3F0D">
            <w:pPr>
              <w:pStyle w:val="Norm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Class of</w:t>
            </w:r>
            <w:r w:rsidR="00C26CAC">
              <w:rPr>
                <w:rFonts w:ascii="Times New Roman" w:eastAsia="Times New Roman" w:hAnsi="Times New Roman" w:cs="Times New Roman"/>
              </w:rPr>
              <w:t xml:space="preserve"> ‘21</w:t>
            </w:r>
          </w:p>
        </w:tc>
      </w:tr>
      <w:tr w:rsidR="00A7499F" w14:paraId="3F06401C" w14:textId="77777777" w:rsidTr="00E54B5A">
        <w:trPr>
          <w:trHeight w:val="280"/>
          <w:jc w:val="center"/>
        </w:trPr>
        <w:tc>
          <w:tcPr>
            <w:cnfStyle w:val="001000000000" w:firstRow="0" w:lastRow="0" w:firstColumn="1" w:lastColumn="0" w:oddVBand="0" w:evenVBand="0" w:oddHBand="0" w:evenHBand="0" w:firstRowFirstColumn="0" w:firstRowLastColumn="0" w:lastRowFirstColumn="0" w:lastRowLastColumn="0"/>
            <w:tcW w:w="2550" w:type="dxa"/>
          </w:tcPr>
          <w:p w14:paraId="62A60CDA" w14:textId="0EEBBC26" w:rsidR="00A7499F" w:rsidRDefault="00CE7EB3" w:rsidP="00E54B5A">
            <w:pPr>
              <w:pStyle w:val="Normal1"/>
              <w:rPr>
                <w:rFonts w:ascii="Times New Roman" w:eastAsia="Times New Roman" w:hAnsi="Times New Roman" w:cs="Times New Roman"/>
                <w:b w:val="0"/>
              </w:rPr>
            </w:pPr>
            <w:r>
              <w:rPr>
                <w:rFonts w:ascii="Times New Roman" w:eastAsia="Times New Roman" w:hAnsi="Times New Roman" w:cs="Times New Roman"/>
                <w:b w:val="0"/>
              </w:rPr>
              <w:t>Sophia</w:t>
            </w:r>
            <w:r w:rsidR="00A7499F">
              <w:rPr>
                <w:rFonts w:ascii="Times New Roman" w:eastAsia="Times New Roman" w:hAnsi="Times New Roman" w:cs="Times New Roman"/>
                <w:b w:val="0"/>
              </w:rPr>
              <w:t xml:space="preserve"> Marcellus</w:t>
            </w:r>
          </w:p>
        </w:tc>
        <w:tc>
          <w:tcPr>
            <w:tcW w:w="6285" w:type="dxa"/>
          </w:tcPr>
          <w:p w14:paraId="1747F81D" w14:textId="13666F40" w:rsidR="00A7499F" w:rsidRDefault="00A7499F" w:rsidP="00E54B5A">
            <w:pPr>
              <w:pStyle w:val="Norm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Class of</w:t>
            </w:r>
            <w:r w:rsidR="00B02216">
              <w:rPr>
                <w:rFonts w:ascii="Times New Roman" w:eastAsia="Times New Roman" w:hAnsi="Times New Roman" w:cs="Times New Roman"/>
              </w:rPr>
              <w:t xml:space="preserve"> ‘</w:t>
            </w:r>
            <w:r w:rsidR="00AF6C14">
              <w:rPr>
                <w:rFonts w:ascii="Times New Roman" w:eastAsia="Times New Roman" w:hAnsi="Times New Roman" w:cs="Times New Roman"/>
              </w:rPr>
              <w:t>21</w:t>
            </w:r>
          </w:p>
        </w:tc>
      </w:tr>
      <w:tr w:rsidR="00FB64CE" w14:paraId="1DAA4A34" w14:textId="77777777" w:rsidTr="00FB64CE">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2550" w:type="dxa"/>
          </w:tcPr>
          <w:p w14:paraId="7AD0971E" w14:textId="77777777" w:rsidR="00FB64CE" w:rsidRDefault="004D6679">
            <w:pPr>
              <w:pStyle w:val="Normal1"/>
              <w:rPr>
                <w:rFonts w:ascii="Times New Roman" w:eastAsia="Times New Roman" w:hAnsi="Times New Roman" w:cs="Times New Roman"/>
              </w:rPr>
            </w:pPr>
            <w:r>
              <w:rPr>
                <w:rFonts w:ascii="Times New Roman" w:eastAsia="Times New Roman" w:hAnsi="Times New Roman" w:cs="Times New Roman"/>
                <w:b w:val="0"/>
              </w:rPr>
              <w:t>Katie McMenimen</w:t>
            </w:r>
          </w:p>
        </w:tc>
        <w:tc>
          <w:tcPr>
            <w:tcW w:w="6285" w:type="dxa"/>
          </w:tcPr>
          <w:p w14:paraId="2F424DAA" w14:textId="7F42CB21" w:rsidR="00FB64CE" w:rsidRDefault="001A517A">
            <w:pPr>
              <w:pStyle w:val="Norm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Associate</w:t>
            </w:r>
            <w:r w:rsidR="004D6679">
              <w:rPr>
                <w:rFonts w:ascii="Times New Roman" w:eastAsia="Times New Roman" w:hAnsi="Times New Roman" w:cs="Times New Roman"/>
              </w:rPr>
              <w:t xml:space="preserve"> Professor of Chemistry</w:t>
            </w:r>
          </w:p>
        </w:tc>
      </w:tr>
      <w:tr w:rsidR="00AF6C14" w14:paraId="11B861EA" w14:textId="77777777" w:rsidTr="00330B64">
        <w:trPr>
          <w:trHeight w:val="280"/>
          <w:jc w:val="center"/>
        </w:trPr>
        <w:tc>
          <w:tcPr>
            <w:cnfStyle w:val="001000000000" w:firstRow="0" w:lastRow="0" w:firstColumn="1" w:lastColumn="0" w:oddVBand="0" w:evenVBand="0" w:oddHBand="0" w:evenHBand="0" w:firstRowFirstColumn="0" w:firstRowLastColumn="0" w:lastRowFirstColumn="0" w:lastRowLastColumn="0"/>
            <w:tcW w:w="2550" w:type="dxa"/>
          </w:tcPr>
          <w:p w14:paraId="30D2F510" w14:textId="77777777" w:rsidR="00AF6C14" w:rsidRDefault="00AF6C14" w:rsidP="00330B64">
            <w:pPr>
              <w:pStyle w:val="Normal1"/>
              <w:rPr>
                <w:rFonts w:ascii="Times New Roman" w:eastAsia="Times New Roman" w:hAnsi="Times New Roman" w:cs="Times New Roman"/>
                <w:b w:val="0"/>
              </w:rPr>
            </w:pPr>
            <w:r>
              <w:rPr>
                <w:rFonts w:ascii="Times New Roman" w:eastAsia="Times New Roman" w:hAnsi="Times New Roman" w:cs="Times New Roman"/>
                <w:b w:val="0"/>
              </w:rPr>
              <w:t>Guneet Moihdeen</w:t>
            </w:r>
          </w:p>
        </w:tc>
        <w:tc>
          <w:tcPr>
            <w:tcW w:w="6285" w:type="dxa"/>
          </w:tcPr>
          <w:p w14:paraId="28103B1C" w14:textId="77777777" w:rsidR="00AF6C14" w:rsidRDefault="00AF6C14" w:rsidP="00330B64">
            <w:pPr>
              <w:pStyle w:val="Norm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Class of ‘21</w:t>
            </w:r>
          </w:p>
        </w:tc>
      </w:tr>
      <w:tr w:rsidR="00FB64CE" w14:paraId="1A9A042C" w14:textId="77777777" w:rsidTr="00FB64CE">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2550" w:type="dxa"/>
          </w:tcPr>
          <w:p w14:paraId="42160F6B" w14:textId="77777777" w:rsidR="00FB64CE" w:rsidRDefault="004D6679">
            <w:pPr>
              <w:pStyle w:val="Normal1"/>
              <w:rPr>
                <w:rFonts w:ascii="Times New Roman" w:eastAsia="Times New Roman" w:hAnsi="Times New Roman" w:cs="Times New Roman"/>
              </w:rPr>
            </w:pPr>
            <w:r>
              <w:rPr>
                <w:rFonts w:ascii="Times New Roman" w:eastAsia="Times New Roman" w:hAnsi="Times New Roman" w:cs="Times New Roman"/>
                <w:b w:val="0"/>
              </w:rPr>
              <w:t xml:space="preserve">Donna Van Handle </w:t>
            </w:r>
          </w:p>
        </w:tc>
        <w:tc>
          <w:tcPr>
            <w:tcW w:w="6285" w:type="dxa"/>
          </w:tcPr>
          <w:p w14:paraId="635A4F1D" w14:textId="77777777" w:rsidR="00FB64CE" w:rsidRDefault="004D6679">
            <w:pPr>
              <w:pStyle w:val="Norm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Senior Lecturer of German Studies, Dean of International Students</w:t>
            </w:r>
          </w:p>
        </w:tc>
      </w:tr>
      <w:tr w:rsidR="00FB64CE" w14:paraId="700679CF" w14:textId="77777777" w:rsidTr="00FB64CE">
        <w:trPr>
          <w:trHeight w:val="280"/>
          <w:jc w:val="center"/>
        </w:trPr>
        <w:tc>
          <w:tcPr>
            <w:cnfStyle w:val="001000000000" w:firstRow="0" w:lastRow="0" w:firstColumn="1" w:lastColumn="0" w:oddVBand="0" w:evenVBand="0" w:oddHBand="0" w:evenHBand="0" w:firstRowFirstColumn="0" w:firstRowLastColumn="0" w:lastRowFirstColumn="0" w:lastRowLastColumn="0"/>
            <w:tcW w:w="2550" w:type="dxa"/>
          </w:tcPr>
          <w:p w14:paraId="219ED065" w14:textId="77777777" w:rsidR="00FB64CE" w:rsidRDefault="004D6679">
            <w:pPr>
              <w:pStyle w:val="Normal1"/>
              <w:rPr>
                <w:rFonts w:ascii="Times New Roman" w:eastAsia="Times New Roman" w:hAnsi="Times New Roman" w:cs="Times New Roman"/>
              </w:rPr>
            </w:pPr>
            <w:r>
              <w:rPr>
                <w:rFonts w:ascii="Times New Roman" w:eastAsia="Times New Roman" w:hAnsi="Times New Roman" w:cs="Times New Roman"/>
                <w:b w:val="0"/>
              </w:rPr>
              <w:t xml:space="preserve">Nashalie Vazquez </w:t>
            </w:r>
          </w:p>
        </w:tc>
        <w:tc>
          <w:tcPr>
            <w:tcW w:w="6285" w:type="dxa"/>
          </w:tcPr>
          <w:p w14:paraId="64AD864F" w14:textId="77777777" w:rsidR="00FB64CE" w:rsidRDefault="004D6679">
            <w:pPr>
              <w:pStyle w:val="Norm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Associate Director of Residential Life</w:t>
            </w:r>
          </w:p>
        </w:tc>
      </w:tr>
      <w:tr w:rsidR="00FB64CE" w14:paraId="146EADD9" w14:textId="77777777" w:rsidTr="00FB64CE">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2550" w:type="dxa"/>
          </w:tcPr>
          <w:p w14:paraId="437BF6BB" w14:textId="77777777" w:rsidR="00FB64CE" w:rsidRDefault="004D6679">
            <w:pPr>
              <w:pStyle w:val="Normal1"/>
              <w:rPr>
                <w:rFonts w:ascii="Times New Roman" w:eastAsia="Times New Roman" w:hAnsi="Times New Roman" w:cs="Times New Roman"/>
              </w:rPr>
            </w:pPr>
            <w:r>
              <w:rPr>
                <w:rFonts w:ascii="Times New Roman" w:eastAsia="Times New Roman" w:hAnsi="Times New Roman" w:cs="Times New Roman"/>
                <w:b w:val="0"/>
              </w:rPr>
              <w:t xml:space="preserve">Jonencia Wood </w:t>
            </w:r>
          </w:p>
        </w:tc>
        <w:tc>
          <w:tcPr>
            <w:tcW w:w="6285" w:type="dxa"/>
          </w:tcPr>
          <w:p w14:paraId="05B53995" w14:textId="77777777" w:rsidR="00FB64CE" w:rsidRDefault="004D6679">
            <w:pPr>
              <w:pStyle w:val="Normal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Alumnae Association Senior Director of Programs</w:t>
            </w:r>
          </w:p>
        </w:tc>
      </w:tr>
      <w:tr w:rsidR="00FB64CE" w14:paraId="6DB74AAE" w14:textId="77777777" w:rsidTr="00FB64CE">
        <w:trPr>
          <w:trHeight w:val="280"/>
          <w:jc w:val="center"/>
        </w:trPr>
        <w:tc>
          <w:tcPr>
            <w:cnfStyle w:val="001000000000" w:firstRow="0" w:lastRow="0" w:firstColumn="1" w:lastColumn="0" w:oddVBand="0" w:evenVBand="0" w:oddHBand="0" w:evenHBand="0" w:firstRowFirstColumn="0" w:firstRowLastColumn="0" w:lastRowFirstColumn="0" w:lastRowLastColumn="0"/>
            <w:tcW w:w="2550" w:type="dxa"/>
          </w:tcPr>
          <w:p w14:paraId="75101174" w14:textId="77777777" w:rsidR="00FB64CE" w:rsidRDefault="004D6679">
            <w:pPr>
              <w:pStyle w:val="Normal1"/>
              <w:rPr>
                <w:rFonts w:ascii="Times New Roman" w:eastAsia="Times New Roman" w:hAnsi="Times New Roman" w:cs="Times New Roman"/>
              </w:rPr>
            </w:pPr>
            <w:r>
              <w:rPr>
                <w:rFonts w:ascii="Times New Roman" w:eastAsia="Times New Roman" w:hAnsi="Times New Roman" w:cs="Times New Roman"/>
                <w:b w:val="0"/>
              </w:rPr>
              <w:t xml:space="preserve">Wesley Yu </w:t>
            </w:r>
          </w:p>
        </w:tc>
        <w:tc>
          <w:tcPr>
            <w:tcW w:w="6285" w:type="dxa"/>
          </w:tcPr>
          <w:p w14:paraId="047A951E" w14:textId="77777777" w:rsidR="00FB64CE" w:rsidRDefault="004D6679">
            <w:pPr>
              <w:pStyle w:val="Normal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Associate Professor of English</w:t>
            </w:r>
          </w:p>
        </w:tc>
      </w:tr>
    </w:tbl>
    <w:p w14:paraId="2BB8EA8D" w14:textId="77777777" w:rsidR="00FB64CE" w:rsidRDefault="00FB64CE">
      <w:pPr>
        <w:pStyle w:val="Normal1"/>
        <w:rPr>
          <w:rFonts w:ascii="Times New Roman" w:eastAsia="Times New Roman" w:hAnsi="Times New Roman" w:cs="Times New Roman"/>
          <w:sz w:val="24"/>
          <w:szCs w:val="24"/>
        </w:rPr>
      </w:pPr>
    </w:p>
    <w:p w14:paraId="700AE814" w14:textId="77777777" w:rsidR="00FB64CE" w:rsidRDefault="004D6679">
      <w:pPr>
        <w:pStyle w:val="Normal1"/>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Meeting Schedule</w:t>
      </w:r>
    </w:p>
    <w:p w14:paraId="6D7644B1" w14:textId="3A6D24D7" w:rsidR="00FB64CE" w:rsidRDefault="00E731E3">
      <w:pPr>
        <w:pStyle w:val="Normal1"/>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t xml:space="preserve">The MCCL Committee typically meets every other week throughout the year.  </w:t>
      </w:r>
      <w:r w:rsidR="004D6679">
        <w:rPr>
          <w:rFonts w:ascii="Times New Roman" w:eastAsia="Times New Roman" w:hAnsi="Times New Roman" w:cs="Times New Roman"/>
          <w:sz w:val="24"/>
          <w:szCs w:val="24"/>
        </w:rPr>
        <w:t xml:space="preserve">This year the </w:t>
      </w:r>
      <w:r>
        <w:rPr>
          <w:rFonts w:ascii="Times New Roman" w:eastAsia="Times New Roman" w:hAnsi="Times New Roman" w:cs="Times New Roman"/>
          <w:sz w:val="24"/>
          <w:szCs w:val="24"/>
        </w:rPr>
        <w:t>committee</w:t>
      </w:r>
      <w:r w:rsidR="004D6679">
        <w:rPr>
          <w:rFonts w:ascii="Times New Roman" w:eastAsia="Times New Roman" w:hAnsi="Times New Roman" w:cs="Times New Roman"/>
          <w:sz w:val="24"/>
          <w:szCs w:val="24"/>
        </w:rPr>
        <w:t xml:space="preserve"> met every other </w:t>
      </w:r>
      <w:r w:rsidR="00686DED">
        <w:rPr>
          <w:rFonts w:ascii="Times New Roman" w:eastAsia="Times New Roman" w:hAnsi="Times New Roman" w:cs="Times New Roman"/>
          <w:sz w:val="24"/>
          <w:szCs w:val="24"/>
        </w:rPr>
        <w:t>Wednesday in the fall semester</w:t>
      </w:r>
      <w:r w:rsidR="001A517A">
        <w:rPr>
          <w:rFonts w:ascii="Times New Roman" w:eastAsia="Times New Roman" w:hAnsi="Times New Roman" w:cs="Times New Roman"/>
          <w:sz w:val="24"/>
          <w:szCs w:val="24"/>
        </w:rPr>
        <w:t>, and every other Monday in the spring</w:t>
      </w:r>
      <w:r w:rsidR="004D6679">
        <w:rPr>
          <w:rFonts w:ascii="Times New Roman" w:eastAsia="Times New Roman" w:hAnsi="Times New Roman" w:cs="Times New Roman"/>
          <w:sz w:val="24"/>
          <w:szCs w:val="24"/>
        </w:rPr>
        <w:t xml:space="preserve">.  </w:t>
      </w:r>
    </w:p>
    <w:p w14:paraId="6D363D33" w14:textId="77777777" w:rsidR="00FB64CE" w:rsidRDefault="00FB64CE">
      <w:pPr>
        <w:pStyle w:val="Normal1"/>
        <w:spacing w:after="0"/>
        <w:jc w:val="center"/>
        <w:rPr>
          <w:rFonts w:ascii="Times New Roman" w:eastAsia="Times New Roman" w:hAnsi="Times New Roman" w:cs="Times New Roman"/>
          <w:sz w:val="24"/>
          <w:szCs w:val="24"/>
        </w:rPr>
      </w:pPr>
    </w:p>
    <w:p w14:paraId="54D6B3F4" w14:textId="4562D155" w:rsidR="00FB64CE" w:rsidRDefault="004D6679">
      <w:pPr>
        <w:pStyle w:val="Normal1"/>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Accomplishments in 20</w:t>
      </w:r>
      <w:r w:rsidR="003B52A4">
        <w:rPr>
          <w:rFonts w:ascii="Times New Roman" w:eastAsia="Times New Roman" w:hAnsi="Times New Roman" w:cs="Times New Roman"/>
          <w:sz w:val="24"/>
          <w:szCs w:val="24"/>
          <w:u w:val="single"/>
        </w:rPr>
        <w:t>17-2018</w:t>
      </w:r>
    </w:p>
    <w:p w14:paraId="1B3254F3" w14:textId="77777777" w:rsidR="00231CD6" w:rsidRDefault="00231CD6" w:rsidP="00231CD6">
      <w:pPr>
        <w:pStyle w:val="Normal1"/>
        <w:spacing w:after="0"/>
        <w:rPr>
          <w:rFonts w:ascii="Times New Roman" w:eastAsia="Times New Roman" w:hAnsi="Times New Roman" w:cs="Times New Roman"/>
          <w:sz w:val="24"/>
          <w:szCs w:val="24"/>
        </w:rPr>
      </w:pPr>
      <w:r>
        <w:rPr>
          <w:rFonts w:ascii="Times New Roman" w:eastAsia="Times New Roman" w:hAnsi="Times New Roman" w:cs="Times New Roman"/>
          <w:i/>
          <w:sz w:val="24"/>
          <w:szCs w:val="24"/>
        </w:rPr>
        <w:t>Hortense Parker Essay Contest</w:t>
      </w:r>
    </w:p>
    <w:p w14:paraId="74F1A772" w14:textId="77777777" w:rsidR="00231CD6" w:rsidRDefault="00231CD6" w:rsidP="00231CD6">
      <w:pPr>
        <w:pStyle w:val="Normal1"/>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 early September, we read 17 essays submitted by students for the Hortense Parker Essay Contest.  Alongside other judges across campus, we helped select a winner in anticipation of Hortense Parker Day.</w:t>
      </w:r>
    </w:p>
    <w:p w14:paraId="75B1B0F4" w14:textId="77777777" w:rsidR="00231CD6" w:rsidRDefault="00231CD6" w:rsidP="00231CD6">
      <w:pPr>
        <w:pStyle w:val="Normal1"/>
        <w:spacing w:after="0"/>
        <w:rPr>
          <w:rFonts w:ascii="Times New Roman" w:eastAsia="Times New Roman" w:hAnsi="Times New Roman" w:cs="Times New Roman"/>
          <w:i/>
          <w:sz w:val="24"/>
          <w:szCs w:val="24"/>
        </w:rPr>
      </w:pPr>
    </w:p>
    <w:p w14:paraId="0C0D6188" w14:textId="44B23253" w:rsidR="009F049C" w:rsidRDefault="009F049C" w:rsidP="009F049C">
      <w:pPr>
        <w:pStyle w:val="Normal1"/>
        <w:spacing w:after="0"/>
        <w:ind w:left="1440" w:hanging="1440"/>
        <w:rPr>
          <w:rFonts w:ascii="Times New Roman" w:eastAsia="Times New Roman" w:hAnsi="Times New Roman" w:cs="Times New Roman"/>
          <w:i/>
          <w:sz w:val="24"/>
          <w:szCs w:val="24"/>
        </w:rPr>
      </w:pPr>
      <w:r>
        <w:rPr>
          <w:rFonts w:ascii="Times New Roman" w:eastAsia="Times New Roman" w:hAnsi="Times New Roman" w:cs="Times New Roman"/>
          <w:i/>
          <w:sz w:val="24"/>
          <w:szCs w:val="24"/>
        </w:rPr>
        <w:t>BOOM! 2017 De-brief</w:t>
      </w:r>
    </w:p>
    <w:p w14:paraId="78636895" w14:textId="7A7D47AD" w:rsidR="009F049C" w:rsidRDefault="009F049C" w:rsidP="009F049C">
      <w:pPr>
        <w:pStyle w:val="Normal1"/>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spent several meetings talking about information we gathered </w:t>
      </w:r>
      <w:r w:rsidR="00875792">
        <w:rPr>
          <w:rFonts w:ascii="Times New Roman" w:eastAsia="Times New Roman" w:hAnsi="Times New Roman" w:cs="Times New Roman"/>
          <w:sz w:val="24"/>
          <w:szCs w:val="24"/>
        </w:rPr>
        <w:t>from our participation in</w:t>
      </w:r>
      <w:r>
        <w:rPr>
          <w:rFonts w:ascii="Times New Roman" w:eastAsia="Times New Roman" w:hAnsi="Times New Roman" w:cs="Times New Roman"/>
          <w:sz w:val="24"/>
          <w:szCs w:val="24"/>
        </w:rPr>
        <w:t xml:space="preserve"> last year’s BOOM! Conference.  </w:t>
      </w:r>
      <w:r w:rsidR="00875792">
        <w:rPr>
          <w:rFonts w:ascii="Times New Roman" w:eastAsia="Times New Roman" w:hAnsi="Times New Roman" w:cs="Times New Roman"/>
          <w:sz w:val="24"/>
          <w:szCs w:val="24"/>
        </w:rPr>
        <w:t>In 2017</w:t>
      </w:r>
      <w:r>
        <w:rPr>
          <w:rFonts w:ascii="Times New Roman" w:eastAsia="Times New Roman" w:hAnsi="Times New Roman" w:cs="Times New Roman"/>
          <w:sz w:val="24"/>
          <w:szCs w:val="24"/>
        </w:rPr>
        <w:t>, the committee formed a listening table to hear comments, frustrations, and aspirations from the campus community.  This year, we took the information that we gathered and discussed possible ways to continue the work of listening.  We brainstormed possible projects to help promote communication and facilitate continued listening.</w:t>
      </w:r>
    </w:p>
    <w:p w14:paraId="34A18E8D" w14:textId="77777777" w:rsidR="00FB64CE" w:rsidRDefault="004D6679">
      <w:pPr>
        <w:pStyle w:val="Normal1"/>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Inclusiveness Initiative Funding (IIF)</w:t>
      </w:r>
    </w:p>
    <w:p w14:paraId="34E6872C" w14:textId="525EDAB7" w:rsidR="00FB64CE" w:rsidRDefault="004D667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Three times a year, MCCL distributes Inclusive Initiatives Funds (IIF), which allow students, staff, and faculty to put on workshops, cultural events, ga</w:t>
      </w:r>
      <w:r w:rsidR="00875792">
        <w:rPr>
          <w:rFonts w:ascii="Times New Roman" w:eastAsia="Times New Roman" w:hAnsi="Times New Roman" w:cs="Times New Roman"/>
          <w:sz w:val="24"/>
          <w:szCs w:val="24"/>
        </w:rPr>
        <w:t xml:space="preserve">lleries, and academic projects.  </w:t>
      </w:r>
      <w:r w:rsidR="001A517A">
        <w:rPr>
          <w:rFonts w:ascii="Times New Roman" w:eastAsia="Times New Roman" w:hAnsi="Times New Roman" w:cs="Times New Roman"/>
          <w:sz w:val="24"/>
          <w:szCs w:val="24"/>
        </w:rPr>
        <w:t>Katie McMenimen and Donna Van Handle</w:t>
      </w:r>
      <w:r>
        <w:rPr>
          <w:rFonts w:ascii="Times New Roman" w:eastAsia="Times New Roman" w:hAnsi="Times New Roman" w:cs="Times New Roman"/>
          <w:sz w:val="24"/>
          <w:szCs w:val="24"/>
        </w:rPr>
        <w:t xml:space="preserve"> chaired the sub-committee and all MCCL members participated in review and award decisions. </w:t>
      </w:r>
      <w:r w:rsidR="008757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From our budget of $7,500.00, the committee awarded funds to </w:t>
      </w:r>
      <w:r w:rsidR="001A517A">
        <w:rPr>
          <w:rFonts w:ascii="Times New Roman" w:eastAsia="Times New Roman" w:hAnsi="Times New Roman" w:cs="Times New Roman"/>
          <w:sz w:val="24"/>
          <w:szCs w:val="24"/>
        </w:rPr>
        <w:t>15</w:t>
      </w:r>
      <w:r>
        <w:rPr>
          <w:rFonts w:ascii="Times New Roman" w:eastAsia="Times New Roman" w:hAnsi="Times New Roman" w:cs="Times New Roman"/>
          <w:sz w:val="24"/>
          <w:szCs w:val="24"/>
        </w:rPr>
        <w:t xml:space="preserve"> events and projects. </w:t>
      </w:r>
      <w:r w:rsidR="008757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Five of these were faculty- or staff-driven events, while the rest were organized by individual students and student organizations. </w:t>
      </w:r>
      <w:r w:rsidR="008757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IIF funds supported the following events:</w:t>
      </w:r>
    </w:p>
    <w:tbl>
      <w:tblPr>
        <w:tblStyle w:val="GridTable4"/>
        <w:tblW w:w="9450" w:type="dxa"/>
        <w:jc w:val="center"/>
        <w:tblLook w:val="04A0" w:firstRow="1" w:lastRow="0" w:firstColumn="1" w:lastColumn="0" w:noHBand="0" w:noVBand="1"/>
      </w:tblPr>
      <w:tblGrid>
        <w:gridCol w:w="6615"/>
        <w:gridCol w:w="1710"/>
        <w:gridCol w:w="1125"/>
      </w:tblGrid>
      <w:tr w:rsidR="00A15F91" w:rsidRPr="008F5E00" w14:paraId="37F8E225" w14:textId="77777777" w:rsidTr="00F82222">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615" w:type="dxa"/>
            <w:hideMark/>
          </w:tcPr>
          <w:p w14:paraId="49847B29" w14:textId="77777777" w:rsidR="00A15F91" w:rsidRPr="008F5E00" w:rsidRDefault="00A15F91" w:rsidP="008F5E00">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val="0"/>
                <w:bCs w:val="0"/>
                <w:color w:val="auto"/>
              </w:rPr>
            </w:pPr>
            <w:r w:rsidRPr="006B178E">
              <w:rPr>
                <w:rFonts w:ascii="Times New Roman" w:eastAsia="Times New Roman" w:hAnsi="Times New Roman" w:cs="Times New Roman"/>
              </w:rPr>
              <w:t>Project</w:t>
            </w:r>
          </w:p>
        </w:tc>
        <w:tc>
          <w:tcPr>
            <w:tcW w:w="1710" w:type="dxa"/>
            <w:hideMark/>
          </w:tcPr>
          <w:p w14:paraId="7A75C34F" w14:textId="77777777" w:rsidR="00A15F91" w:rsidRPr="006B178E" w:rsidRDefault="00A15F91" w:rsidP="008F5E00">
            <w:pPr>
              <w:widowControl/>
              <w:pBdr>
                <w:top w:val="none" w:sz="0" w:space="0" w:color="auto"/>
                <w:left w:val="none" w:sz="0" w:space="0" w:color="auto"/>
                <w:bottom w:val="none" w:sz="0" w:space="0" w:color="auto"/>
                <w:right w:val="none" w:sz="0" w:space="0" w:color="auto"/>
                <w:between w:val="none" w:sz="0" w:space="0" w:color="auto"/>
              </w:pBd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B178E">
              <w:rPr>
                <w:rFonts w:ascii="Times New Roman" w:eastAsia="Times New Roman" w:hAnsi="Times New Roman" w:cs="Times New Roman"/>
              </w:rPr>
              <w:t>Project Dates</w:t>
            </w:r>
          </w:p>
        </w:tc>
        <w:tc>
          <w:tcPr>
            <w:tcW w:w="1125" w:type="dxa"/>
            <w:hideMark/>
          </w:tcPr>
          <w:p w14:paraId="12D2B1BA" w14:textId="77777777" w:rsidR="00A15F91" w:rsidRPr="006B178E" w:rsidRDefault="00A15F91" w:rsidP="008F5E00">
            <w:pPr>
              <w:widowControl/>
              <w:pBdr>
                <w:top w:val="none" w:sz="0" w:space="0" w:color="auto"/>
                <w:left w:val="none" w:sz="0" w:space="0" w:color="auto"/>
                <w:bottom w:val="none" w:sz="0" w:space="0" w:color="auto"/>
                <w:right w:val="none" w:sz="0" w:space="0" w:color="auto"/>
                <w:between w:val="none" w:sz="0" w:space="0" w:color="auto"/>
              </w:pBd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B178E">
              <w:rPr>
                <w:rFonts w:ascii="Times New Roman" w:eastAsia="Times New Roman" w:hAnsi="Times New Roman" w:cs="Times New Roman"/>
              </w:rPr>
              <w:t>Funded Amount</w:t>
            </w:r>
          </w:p>
        </w:tc>
      </w:tr>
      <w:tr w:rsidR="00A15F91" w:rsidRPr="008F5E00" w14:paraId="55BF9AD3" w14:textId="77777777" w:rsidTr="00F8222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615" w:type="dxa"/>
            <w:hideMark/>
          </w:tcPr>
          <w:p w14:paraId="62087A69" w14:textId="05337DEA" w:rsidR="00A15F91" w:rsidRPr="008F5E00" w:rsidRDefault="00A15F91" w:rsidP="00CC47EF">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val="0"/>
                <w:color w:val="auto"/>
              </w:rPr>
            </w:pPr>
            <w:r w:rsidRPr="008F5E00">
              <w:rPr>
                <w:rFonts w:ascii="Times New Roman" w:eastAsia="Times New Roman" w:hAnsi="Times New Roman" w:cs="Times New Roman"/>
                <w:b w:val="0"/>
                <w:color w:val="auto"/>
              </w:rPr>
              <w:t>“Moving Beyond Pity and Inspiration:</w:t>
            </w:r>
            <w:r w:rsidR="00F82222">
              <w:rPr>
                <w:rFonts w:ascii="Times New Roman" w:eastAsia="Times New Roman" w:hAnsi="Times New Roman" w:cs="Times New Roman"/>
                <w:b w:val="0"/>
                <w:color w:val="auto"/>
              </w:rPr>
              <w:t xml:space="preserve"> </w:t>
            </w:r>
            <w:r w:rsidRPr="008F5E00">
              <w:rPr>
                <w:rFonts w:ascii="Times New Roman" w:eastAsia="Times New Roman" w:hAnsi="Times New Roman" w:cs="Times New Roman"/>
                <w:b w:val="0"/>
                <w:color w:val="auto"/>
              </w:rPr>
              <w:t>Disability as a Social Justice Issue.”</w:t>
            </w:r>
          </w:p>
        </w:tc>
        <w:tc>
          <w:tcPr>
            <w:tcW w:w="1710" w:type="dxa"/>
            <w:hideMark/>
          </w:tcPr>
          <w:p w14:paraId="7A4CE73B" w14:textId="6974C0AA" w:rsidR="00A15F91" w:rsidRPr="008F5E00" w:rsidRDefault="00026B15" w:rsidP="00CC47EF">
            <w:pPr>
              <w:widowControl/>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Pr>
                <w:rFonts w:ascii="Times New Roman" w:eastAsia="Times New Roman" w:hAnsi="Times New Roman" w:cs="Times New Roman"/>
                <w:color w:val="auto"/>
              </w:rPr>
              <w:t>Oct</w:t>
            </w:r>
            <w:r w:rsidR="00A15F91" w:rsidRPr="008F5E00">
              <w:rPr>
                <w:rFonts w:ascii="Times New Roman" w:eastAsia="Times New Roman" w:hAnsi="Times New Roman" w:cs="Times New Roman"/>
                <w:color w:val="auto"/>
              </w:rPr>
              <w:t xml:space="preserve"> 2</w:t>
            </w:r>
          </w:p>
        </w:tc>
        <w:tc>
          <w:tcPr>
            <w:tcW w:w="1125" w:type="dxa"/>
            <w:hideMark/>
          </w:tcPr>
          <w:p w14:paraId="734FC182" w14:textId="77777777" w:rsidR="00A15F91" w:rsidRPr="008F5E00" w:rsidRDefault="00A15F91" w:rsidP="00CC47EF">
            <w:pPr>
              <w:widowControl/>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8F5E00">
              <w:rPr>
                <w:rFonts w:ascii="Times New Roman" w:eastAsia="Times New Roman" w:hAnsi="Times New Roman" w:cs="Times New Roman"/>
                <w:color w:val="auto"/>
              </w:rPr>
              <w:t>$460</w:t>
            </w:r>
          </w:p>
        </w:tc>
      </w:tr>
      <w:tr w:rsidR="00026B15" w:rsidRPr="008F5E00" w14:paraId="783573FC" w14:textId="77777777" w:rsidTr="00F82222">
        <w:trPr>
          <w:trHeight w:val="315"/>
          <w:jc w:val="center"/>
        </w:trPr>
        <w:tc>
          <w:tcPr>
            <w:cnfStyle w:val="001000000000" w:firstRow="0" w:lastRow="0" w:firstColumn="1" w:lastColumn="0" w:oddVBand="0" w:evenVBand="0" w:oddHBand="0" w:evenHBand="0" w:firstRowFirstColumn="0" w:firstRowLastColumn="0" w:lastRowFirstColumn="0" w:lastRowLastColumn="0"/>
            <w:tcW w:w="6615" w:type="dxa"/>
            <w:hideMark/>
          </w:tcPr>
          <w:p w14:paraId="2E540669" w14:textId="77777777" w:rsidR="00026B15" w:rsidRPr="008F5E00" w:rsidRDefault="00026B15" w:rsidP="00E665D6">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val="0"/>
                <w:color w:val="auto"/>
              </w:rPr>
            </w:pPr>
            <w:r w:rsidRPr="008F5E00">
              <w:rPr>
                <w:rFonts w:ascii="Times New Roman" w:eastAsia="Times New Roman" w:hAnsi="Times New Roman" w:cs="Times New Roman"/>
                <w:b w:val="0"/>
                <w:color w:val="auto"/>
              </w:rPr>
              <w:t>The Peony Pavillion</w:t>
            </w:r>
          </w:p>
        </w:tc>
        <w:tc>
          <w:tcPr>
            <w:tcW w:w="1710" w:type="dxa"/>
            <w:hideMark/>
          </w:tcPr>
          <w:p w14:paraId="6886ADE1" w14:textId="77777777" w:rsidR="00026B15" w:rsidRPr="008F5E00" w:rsidRDefault="00026B15" w:rsidP="00E665D6">
            <w:pPr>
              <w:widowControl/>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Pr>
                <w:rFonts w:ascii="Times New Roman" w:eastAsia="Times New Roman" w:hAnsi="Times New Roman" w:cs="Times New Roman"/>
                <w:color w:val="auto"/>
              </w:rPr>
              <w:t>Oct</w:t>
            </w:r>
            <w:r w:rsidRPr="008F5E00">
              <w:rPr>
                <w:rFonts w:ascii="Times New Roman" w:eastAsia="Times New Roman" w:hAnsi="Times New Roman" w:cs="Times New Roman"/>
                <w:color w:val="auto"/>
              </w:rPr>
              <w:t xml:space="preserve"> 19</w:t>
            </w:r>
          </w:p>
        </w:tc>
        <w:tc>
          <w:tcPr>
            <w:tcW w:w="1125" w:type="dxa"/>
            <w:hideMark/>
          </w:tcPr>
          <w:p w14:paraId="11C9725F" w14:textId="77777777" w:rsidR="00026B15" w:rsidRPr="008F5E00" w:rsidRDefault="00026B15" w:rsidP="00E665D6">
            <w:pPr>
              <w:widowControl/>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8F5E00">
              <w:rPr>
                <w:rFonts w:ascii="Times New Roman" w:eastAsia="Times New Roman" w:hAnsi="Times New Roman" w:cs="Times New Roman"/>
                <w:color w:val="auto"/>
              </w:rPr>
              <w:t>$300</w:t>
            </w:r>
          </w:p>
        </w:tc>
      </w:tr>
      <w:tr w:rsidR="00026B15" w:rsidRPr="008F5E00" w14:paraId="069DF168" w14:textId="77777777" w:rsidTr="00F82222">
        <w:trPr>
          <w:cnfStyle w:val="000000100000" w:firstRow="0" w:lastRow="0" w:firstColumn="0" w:lastColumn="0" w:oddVBand="0" w:evenVBand="0" w:oddHBand="1" w:evenHBand="0" w:firstRowFirstColumn="0" w:firstRowLastColumn="0" w:lastRowFirstColumn="0" w:lastRowLastColumn="0"/>
          <w:trHeight w:val="548"/>
          <w:jc w:val="center"/>
        </w:trPr>
        <w:tc>
          <w:tcPr>
            <w:cnfStyle w:val="001000000000" w:firstRow="0" w:lastRow="0" w:firstColumn="1" w:lastColumn="0" w:oddVBand="0" w:evenVBand="0" w:oddHBand="0" w:evenHBand="0" w:firstRowFirstColumn="0" w:firstRowLastColumn="0" w:lastRowFirstColumn="0" w:lastRowLastColumn="0"/>
            <w:tcW w:w="6615" w:type="dxa"/>
            <w:hideMark/>
          </w:tcPr>
          <w:p w14:paraId="0725B39D" w14:textId="77777777" w:rsidR="00026B15" w:rsidRPr="008F5E00" w:rsidRDefault="00026B15" w:rsidP="00E34B4B">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val="0"/>
                <w:color w:val="auto"/>
              </w:rPr>
            </w:pPr>
            <w:r>
              <w:rPr>
                <w:rFonts w:ascii="Times New Roman" w:eastAsia="Times New Roman" w:hAnsi="Times New Roman" w:cs="Times New Roman"/>
                <w:b w:val="0"/>
                <w:color w:val="auto"/>
              </w:rPr>
              <w:t>Lecture on Q</w:t>
            </w:r>
            <w:r w:rsidRPr="008F5E00">
              <w:rPr>
                <w:rFonts w:ascii="Times New Roman" w:eastAsia="Times New Roman" w:hAnsi="Times New Roman" w:cs="Times New Roman"/>
                <w:b w:val="0"/>
                <w:color w:val="auto"/>
              </w:rPr>
              <w:t>ueer and Indigenous,</w:t>
            </w:r>
            <w:r>
              <w:rPr>
                <w:rFonts w:ascii="Times New Roman" w:eastAsia="Times New Roman" w:hAnsi="Times New Roman" w:cs="Times New Roman"/>
                <w:b w:val="0"/>
                <w:color w:val="auto"/>
              </w:rPr>
              <w:t xml:space="preserve"> specifically two-spirit, H</w:t>
            </w:r>
            <w:r w:rsidRPr="008F5E00">
              <w:rPr>
                <w:rFonts w:ascii="Times New Roman" w:eastAsia="Times New Roman" w:hAnsi="Times New Roman" w:cs="Times New Roman"/>
                <w:b w:val="0"/>
                <w:color w:val="auto"/>
              </w:rPr>
              <w:t xml:space="preserve">ealth </w:t>
            </w:r>
            <w:r>
              <w:rPr>
                <w:rFonts w:ascii="Times New Roman" w:eastAsia="Times New Roman" w:hAnsi="Times New Roman" w:cs="Times New Roman"/>
                <w:b w:val="0"/>
                <w:color w:val="auto"/>
              </w:rPr>
              <w:t xml:space="preserve">by </w:t>
            </w:r>
            <w:r w:rsidRPr="008F5E00">
              <w:rPr>
                <w:rFonts w:ascii="Times New Roman" w:eastAsia="Times New Roman" w:hAnsi="Times New Roman" w:cs="Times New Roman"/>
                <w:b w:val="0"/>
                <w:color w:val="auto"/>
              </w:rPr>
              <w:t xml:space="preserve">Margaret Robinson, </w:t>
            </w:r>
            <w:r>
              <w:rPr>
                <w:rFonts w:ascii="Times New Roman" w:eastAsia="Times New Roman" w:hAnsi="Times New Roman" w:cs="Times New Roman"/>
                <w:b w:val="0"/>
                <w:color w:val="auto"/>
              </w:rPr>
              <w:t xml:space="preserve">(Assistant Professor, </w:t>
            </w:r>
            <w:r w:rsidRPr="008F5E00">
              <w:rPr>
                <w:rFonts w:ascii="Times New Roman" w:eastAsia="Times New Roman" w:hAnsi="Times New Roman" w:cs="Times New Roman"/>
                <w:b w:val="0"/>
                <w:color w:val="auto"/>
              </w:rPr>
              <w:t>Dalhousie University</w:t>
            </w:r>
            <w:r>
              <w:rPr>
                <w:rFonts w:ascii="Times New Roman" w:eastAsia="Times New Roman" w:hAnsi="Times New Roman" w:cs="Times New Roman"/>
                <w:b w:val="0"/>
                <w:color w:val="auto"/>
              </w:rPr>
              <w:t>)</w:t>
            </w:r>
            <w:r w:rsidRPr="008F5E00">
              <w:rPr>
                <w:rFonts w:ascii="Times New Roman" w:eastAsia="Times New Roman" w:hAnsi="Times New Roman" w:cs="Times New Roman"/>
                <w:b w:val="0"/>
                <w:color w:val="auto"/>
              </w:rPr>
              <w:t>.</w:t>
            </w:r>
          </w:p>
        </w:tc>
        <w:tc>
          <w:tcPr>
            <w:tcW w:w="1710" w:type="dxa"/>
            <w:hideMark/>
          </w:tcPr>
          <w:p w14:paraId="4C6841BC" w14:textId="77777777" w:rsidR="00026B15" w:rsidRPr="008F5E00" w:rsidRDefault="00026B15" w:rsidP="00E34B4B">
            <w:pPr>
              <w:widowControl/>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Pr>
                <w:rFonts w:ascii="Times New Roman" w:eastAsia="Times New Roman" w:hAnsi="Times New Roman" w:cs="Times New Roman"/>
                <w:color w:val="auto"/>
              </w:rPr>
              <w:t>Oct</w:t>
            </w:r>
            <w:r w:rsidRPr="008F5E00">
              <w:rPr>
                <w:rFonts w:ascii="Times New Roman" w:eastAsia="Times New Roman" w:hAnsi="Times New Roman" w:cs="Times New Roman"/>
                <w:color w:val="auto"/>
              </w:rPr>
              <w:t xml:space="preserve"> 23</w:t>
            </w:r>
          </w:p>
        </w:tc>
        <w:tc>
          <w:tcPr>
            <w:tcW w:w="1125" w:type="dxa"/>
            <w:hideMark/>
          </w:tcPr>
          <w:p w14:paraId="56AEAFDF" w14:textId="77777777" w:rsidR="00026B15" w:rsidRPr="008F5E00" w:rsidRDefault="00026B15" w:rsidP="00E34B4B">
            <w:pPr>
              <w:widowControl/>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8F5E00">
              <w:rPr>
                <w:rFonts w:ascii="Times New Roman" w:eastAsia="Times New Roman" w:hAnsi="Times New Roman" w:cs="Times New Roman"/>
                <w:color w:val="auto"/>
              </w:rPr>
              <w:t>$300</w:t>
            </w:r>
          </w:p>
        </w:tc>
      </w:tr>
      <w:tr w:rsidR="00026B15" w:rsidRPr="008F5E00" w14:paraId="2B1A6BC3" w14:textId="77777777" w:rsidTr="00F82222">
        <w:trPr>
          <w:trHeight w:val="287"/>
          <w:jc w:val="center"/>
        </w:trPr>
        <w:tc>
          <w:tcPr>
            <w:cnfStyle w:val="001000000000" w:firstRow="0" w:lastRow="0" w:firstColumn="1" w:lastColumn="0" w:oddVBand="0" w:evenVBand="0" w:oddHBand="0" w:evenHBand="0" w:firstRowFirstColumn="0" w:firstRowLastColumn="0" w:lastRowFirstColumn="0" w:lastRowLastColumn="0"/>
            <w:tcW w:w="6615" w:type="dxa"/>
            <w:hideMark/>
          </w:tcPr>
          <w:p w14:paraId="30440791" w14:textId="77777777" w:rsidR="00026B15" w:rsidRPr="008F5E00" w:rsidRDefault="00026B15" w:rsidP="0034649E">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val="0"/>
                <w:color w:val="auto"/>
              </w:rPr>
            </w:pPr>
            <w:r w:rsidRPr="008F5E00">
              <w:rPr>
                <w:rFonts w:ascii="Times New Roman" w:eastAsia="Times New Roman" w:hAnsi="Times New Roman" w:cs="Times New Roman"/>
                <w:b w:val="0"/>
                <w:color w:val="auto"/>
              </w:rPr>
              <w:t>Movement for Justice in</w:t>
            </w:r>
            <w:r>
              <w:rPr>
                <w:rFonts w:ascii="Times New Roman" w:eastAsia="Times New Roman" w:hAnsi="Times New Roman" w:cs="Times New Roman"/>
                <w:b w:val="0"/>
                <w:color w:val="auto"/>
              </w:rPr>
              <w:t xml:space="preserve"> El Barrio Presentation and Q&amp;A</w:t>
            </w:r>
            <w:r w:rsidRPr="008F5E00">
              <w:rPr>
                <w:rFonts w:ascii="Times New Roman" w:eastAsia="Times New Roman" w:hAnsi="Times New Roman" w:cs="Times New Roman"/>
                <w:b w:val="0"/>
                <w:color w:val="auto"/>
              </w:rPr>
              <w:t>.</w:t>
            </w:r>
          </w:p>
        </w:tc>
        <w:tc>
          <w:tcPr>
            <w:tcW w:w="1710" w:type="dxa"/>
            <w:hideMark/>
          </w:tcPr>
          <w:p w14:paraId="3CE31720" w14:textId="77777777" w:rsidR="00026B15" w:rsidRPr="008F5E00" w:rsidRDefault="00026B15" w:rsidP="0034649E">
            <w:pPr>
              <w:widowControl/>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Pr>
                <w:rFonts w:ascii="Times New Roman" w:eastAsia="Times New Roman" w:hAnsi="Times New Roman" w:cs="Times New Roman"/>
                <w:color w:val="auto"/>
              </w:rPr>
              <w:t>Nov</w:t>
            </w:r>
            <w:r w:rsidRPr="008F5E00">
              <w:rPr>
                <w:rFonts w:ascii="Times New Roman" w:eastAsia="Times New Roman" w:hAnsi="Times New Roman" w:cs="Times New Roman"/>
                <w:color w:val="auto"/>
              </w:rPr>
              <w:t xml:space="preserve"> 10</w:t>
            </w:r>
          </w:p>
        </w:tc>
        <w:tc>
          <w:tcPr>
            <w:tcW w:w="1125" w:type="dxa"/>
            <w:hideMark/>
          </w:tcPr>
          <w:p w14:paraId="6EFAEB1B" w14:textId="77777777" w:rsidR="00026B15" w:rsidRPr="008F5E00" w:rsidRDefault="00026B15" w:rsidP="0034649E">
            <w:pPr>
              <w:widowControl/>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8F5E00">
              <w:rPr>
                <w:rFonts w:ascii="Times New Roman" w:eastAsia="Times New Roman" w:hAnsi="Times New Roman" w:cs="Times New Roman"/>
                <w:color w:val="auto"/>
              </w:rPr>
              <w:t>$450</w:t>
            </w:r>
          </w:p>
        </w:tc>
      </w:tr>
      <w:tr w:rsidR="00026B15" w:rsidRPr="008F5E00" w14:paraId="61689B0A" w14:textId="77777777" w:rsidTr="00F8222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615" w:type="dxa"/>
            <w:hideMark/>
          </w:tcPr>
          <w:p w14:paraId="2FA4E28B" w14:textId="77777777" w:rsidR="00026B15" w:rsidRPr="008F5E00" w:rsidRDefault="00026B15" w:rsidP="0034649E">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val="0"/>
                <w:color w:val="auto"/>
              </w:rPr>
            </w:pPr>
            <w:r w:rsidRPr="008F5E00">
              <w:rPr>
                <w:rFonts w:ascii="Times New Roman" w:eastAsia="Times New Roman" w:hAnsi="Times New Roman" w:cs="Times New Roman"/>
                <w:b w:val="0"/>
                <w:color w:val="auto"/>
              </w:rPr>
              <w:t>Noche Latina fundraiser hosted by La Unidad for people affected in Mexico and Puerto Rico by the natural disasters.</w:t>
            </w:r>
          </w:p>
        </w:tc>
        <w:tc>
          <w:tcPr>
            <w:tcW w:w="1710" w:type="dxa"/>
            <w:hideMark/>
          </w:tcPr>
          <w:p w14:paraId="6393CC01" w14:textId="77777777" w:rsidR="00026B15" w:rsidRPr="008F5E00" w:rsidRDefault="00026B15" w:rsidP="0034649E">
            <w:pPr>
              <w:widowControl/>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Pr>
                <w:rFonts w:ascii="Times New Roman" w:eastAsia="Times New Roman" w:hAnsi="Times New Roman" w:cs="Times New Roman"/>
                <w:color w:val="auto"/>
              </w:rPr>
              <w:t>N​ov 17</w:t>
            </w:r>
            <w:r w:rsidRPr="008F5E00">
              <w:rPr>
                <w:rFonts w:ascii="Times New Roman" w:eastAsia="Times New Roman" w:hAnsi="Times New Roman" w:cs="Times New Roman"/>
                <w:color w:val="auto"/>
              </w:rPr>
              <w:t xml:space="preserve"> </w:t>
            </w:r>
          </w:p>
        </w:tc>
        <w:tc>
          <w:tcPr>
            <w:tcW w:w="1125" w:type="dxa"/>
            <w:hideMark/>
          </w:tcPr>
          <w:p w14:paraId="38063694" w14:textId="77777777" w:rsidR="00026B15" w:rsidRPr="008F5E00" w:rsidRDefault="00026B15" w:rsidP="0034649E">
            <w:pPr>
              <w:widowControl/>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8F5E00">
              <w:rPr>
                <w:rFonts w:ascii="Times New Roman" w:eastAsia="Times New Roman" w:hAnsi="Times New Roman" w:cs="Times New Roman"/>
                <w:color w:val="auto"/>
              </w:rPr>
              <w:t>$450</w:t>
            </w:r>
          </w:p>
        </w:tc>
      </w:tr>
      <w:tr w:rsidR="00026B15" w:rsidRPr="008F5E00" w14:paraId="23AE404A" w14:textId="77777777" w:rsidTr="00F82222">
        <w:trPr>
          <w:trHeight w:val="315"/>
          <w:jc w:val="center"/>
        </w:trPr>
        <w:tc>
          <w:tcPr>
            <w:cnfStyle w:val="001000000000" w:firstRow="0" w:lastRow="0" w:firstColumn="1" w:lastColumn="0" w:oddVBand="0" w:evenVBand="0" w:oddHBand="0" w:evenHBand="0" w:firstRowFirstColumn="0" w:firstRowLastColumn="0" w:lastRowFirstColumn="0" w:lastRowLastColumn="0"/>
            <w:tcW w:w="6615" w:type="dxa"/>
            <w:hideMark/>
          </w:tcPr>
          <w:p w14:paraId="0510AF38" w14:textId="77777777" w:rsidR="00026B15" w:rsidRPr="008F5E00" w:rsidRDefault="00026B15" w:rsidP="0034649E">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val="0"/>
                <w:color w:val="auto"/>
              </w:rPr>
            </w:pPr>
            <w:r w:rsidRPr="008F5E00">
              <w:rPr>
                <w:rFonts w:ascii="Times New Roman" w:eastAsia="Times New Roman" w:hAnsi="Times New Roman" w:cs="Times New Roman"/>
                <w:b w:val="0"/>
                <w:color w:val="auto"/>
              </w:rPr>
              <w:t>Multimedia lecture concert arab arts vs. stereotyping</w:t>
            </w:r>
          </w:p>
        </w:tc>
        <w:tc>
          <w:tcPr>
            <w:tcW w:w="1710" w:type="dxa"/>
            <w:hideMark/>
          </w:tcPr>
          <w:p w14:paraId="6C1EAFFD" w14:textId="77777777" w:rsidR="00026B15" w:rsidRPr="008F5E00" w:rsidRDefault="00026B15" w:rsidP="0034649E">
            <w:pPr>
              <w:widowControl/>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Pr>
                <w:rFonts w:ascii="Times New Roman" w:eastAsia="Times New Roman" w:hAnsi="Times New Roman" w:cs="Times New Roman"/>
                <w:color w:val="auto"/>
              </w:rPr>
              <w:t>Nov</w:t>
            </w:r>
            <w:r w:rsidRPr="008F5E00">
              <w:rPr>
                <w:rFonts w:ascii="Times New Roman" w:eastAsia="Times New Roman" w:hAnsi="Times New Roman" w:cs="Times New Roman"/>
                <w:color w:val="auto"/>
              </w:rPr>
              <w:t xml:space="preserve"> 28</w:t>
            </w:r>
          </w:p>
        </w:tc>
        <w:tc>
          <w:tcPr>
            <w:tcW w:w="1125" w:type="dxa"/>
            <w:hideMark/>
          </w:tcPr>
          <w:p w14:paraId="70526309" w14:textId="77777777" w:rsidR="00026B15" w:rsidRPr="008F5E00" w:rsidRDefault="00026B15" w:rsidP="0034649E">
            <w:pPr>
              <w:widowControl/>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8F5E00">
              <w:rPr>
                <w:rFonts w:ascii="Times New Roman" w:eastAsia="Times New Roman" w:hAnsi="Times New Roman" w:cs="Times New Roman"/>
                <w:color w:val="auto"/>
              </w:rPr>
              <w:t>$200</w:t>
            </w:r>
          </w:p>
        </w:tc>
      </w:tr>
      <w:tr w:rsidR="00026B15" w:rsidRPr="008F5E00" w14:paraId="131BDE7D" w14:textId="77777777" w:rsidTr="00F8222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615" w:type="dxa"/>
            <w:hideMark/>
          </w:tcPr>
          <w:p w14:paraId="6B8DBEA4" w14:textId="77777777" w:rsidR="00026B15" w:rsidRPr="008F5E00" w:rsidRDefault="00026B15" w:rsidP="001F0616">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val="0"/>
                <w:color w:val="auto"/>
              </w:rPr>
            </w:pPr>
            <w:r w:rsidRPr="008F5E00">
              <w:rPr>
                <w:rFonts w:ascii="Times New Roman" w:eastAsia="Times New Roman" w:hAnsi="Times New Roman" w:cs="Times New Roman"/>
                <w:b w:val="0"/>
                <w:color w:val="auto"/>
              </w:rPr>
              <w:t>Noche Latina</w:t>
            </w:r>
          </w:p>
        </w:tc>
        <w:tc>
          <w:tcPr>
            <w:tcW w:w="1710" w:type="dxa"/>
            <w:hideMark/>
          </w:tcPr>
          <w:p w14:paraId="37D7840D" w14:textId="77777777" w:rsidR="00026B15" w:rsidRPr="008F5E00" w:rsidRDefault="00026B15" w:rsidP="001F0616">
            <w:pPr>
              <w:widowControl/>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Pr>
                <w:rFonts w:ascii="Times New Roman" w:eastAsia="Times New Roman" w:hAnsi="Times New Roman" w:cs="Times New Roman"/>
                <w:color w:val="auto"/>
              </w:rPr>
              <w:t xml:space="preserve">Mar </w:t>
            </w:r>
            <w:r w:rsidRPr="008F5E00">
              <w:rPr>
                <w:rFonts w:ascii="Times New Roman" w:eastAsia="Times New Roman" w:hAnsi="Times New Roman" w:cs="Times New Roman"/>
                <w:color w:val="auto"/>
              </w:rPr>
              <w:t>24</w:t>
            </w:r>
          </w:p>
        </w:tc>
        <w:tc>
          <w:tcPr>
            <w:tcW w:w="1125" w:type="dxa"/>
            <w:hideMark/>
          </w:tcPr>
          <w:p w14:paraId="61F1C4E8" w14:textId="7B9ACF7A" w:rsidR="00026B15" w:rsidRPr="008F5E00" w:rsidRDefault="00026B15" w:rsidP="001F0616">
            <w:pPr>
              <w:widowControl/>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8F5E00">
              <w:rPr>
                <w:rFonts w:ascii="Times New Roman" w:eastAsia="Times New Roman" w:hAnsi="Times New Roman" w:cs="Times New Roman"/>
                <w:color w:val="auto"/>
              </w:rPr>
              <w:t>$250</w:t>
            </w:r>
          </w:p>
        </w:tc>
      </w:tr>
      <w:tr w:rsidR="00026B15" w:rsidRPr="008F5E00" w14:paraId="773401FB" w14:textId="77777777" w:rsidTr="00F82222">
        <w:trPr>
          <w:trHeight w:val="315"/>
          <w:jc w:val="center"/>
        </w:trPr>
        <w:tc>
          <w:tcPr>
            <w:cnfStyle w:val="001000000000" w:firstRow="0" w:lastRow="0" w:firstColumn="1" w:lastColumn="0" w:oddVBand="0" w:evenVBand="0" w:oddHBand="0" w:evenHBand="0" w:firstRowFirstColumn="0" w:firstRowLastColumn="0" w:lastRowFirstColumn="0" w:lastRowLastColumn="0"/>
            <w:tcW w:w="6615" w:type="dxa"/>
            <w:hideMark/>
          </w:tcPr>
          <w:p w14:paraId="5FC715AE" w14:textId="77777777" w:rsidR="00026B15" w:rsidRPr="008F5E00" w:rsidRDefault="00026B15" w:rsidP="00096EF1">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val="0"/>
                <w:color w:val="auto"/>
              </w:rPr>
            </w:pPr>
            <w:r w:rsidRPr="008F5E00">
              <w:rPr>
                <w:rFonts w:ascii="Times New Roman" w:eastAsia="Times New Roman" w:hAnsi="Times New Roman" w:cs="Times New Roman"/>
                <w:b w:val="0"/>
                <w:color w:val="auto"/>
              </w:rPr>
              <w:t>Five College Model UN Conference</w:t>
            </w:r>
          </w:p>
        </w:tc>
        <w:tc>
          <w:tcPr>
            <w:tcW w:w="1710" w:type="dxa"/>
            <w:hideMark/>
          </w:tcPr>
          <w:p w14:paraId="73979670" w14:textId="77777777" w:rsidR="00026B15" w:rsidRPr="008F5E00" w:rsidRDefault="00026B15" w:rsidP="00096EF1">
            <w:pPr>
              <w:widowControl/>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Pr>
                <w:rFonts w:ascii="Times New Roman" w:eastAsia="Times New Roman" w:hAnsi="Times New Roman" w:cs="Times New Roman"/>
                <w:color w:val="auto"/>
              </w:rPr>
              <w:t>Mar</w:t>
            </w:r>
            <w:r w:rsidRPr="008F5E00">
              <w:rPr>
                <w:rFonts w:ascii="Times New Roman" w:eastAsia="Times New Roman" w:hAnsi="Times New Roman" w:cs="Times New Roman"/>
                <w:color w:val="auto"/>
              </w:rPr>
              <w:t xml:space="preserve"> 23-25</w:t>
            </w:r>
          </w:p>
        </w:tc>
        <w:tc>
          <w:tcPr>
            <w:tcW w:w="1125" w:type="dxa"/>
            <w:hideMark/>
          </w:tcPr>
          <w:p w14:paraId="19734BEA" w14:textId="77777777" w:rsidR="00026B15" w:rsidRPr="008F5E00" w:rsidRDefault="00026B15" w:rsidP="00096EF1">
            <w:pPr>
              <w:widowControl/>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8F5E00">
              <w:rPr>
                <w:rFonts w:ascii="Times New Roman" w:eastAsia="Times New Roman" w:hAnsi="Times New Roman" w:cs="Times New Roman"/>
                <w:color w:val="auto"/>
              </w:rPr>
              <w:t>$415</w:t>
            </w:r>
          </w:p>
        </w:tc>
      </w:tr>
      <w:tr w:rsidR="00A15F91" w:rsidRPr="008F5E00" w14:paraId="33ED7DC5" w14:textId="77777777" w:rsidTr="00F8222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615" w:type="dxa"/>
            <w:hideMark/>
          </w:tcPr>
          <w:p w14:paraId="70E5D5D5" w14:textId="57E89B07" w:rsidR="00A15F91" w:rsidRPr="008F5E00" w:rsidRDefault="00A15F91" w:rsidP="00CC47EF">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val="0"/>
              </w:rPr>
            </w:pPr>
            <w:r w:rsidRPr="008F5E00">
              <w:rPr>
                <w:rFonts w:ascii="Times New Roman" w:eastAsia="Times New Roman" w:hAnsi="Times New Roman" w:cs="Times New Roman"/>
                <w:b w:val="0"/>
                <w:color w:val="auto"/>
              </w:rPr>
              <w:t>DEAFinitions: A Deaf Studies Conference</w:t>
            </w:r>
            <w:r w:rsidR="008F5E00">
              <w:rPr>
                <w:rFonts w:ascii="Times New Roman" w:eastAsia="Times New Roman" w:hAnsi="Times New Roman" w:cs="Times New Roman"/>
                <w:b w:val="0"/>
                <w:color w:val="auto"/>
              </w:rPr>
              <w:t xml:space="preserve"> (Hampshire)</w:t>
            </w:r>
          </w:p>
        </w:tc>
        <w:tc>
          <w:tcPr>
            <w:tcW w:w="1710" w:type="dxa"/>
            <w:hideMark/>
          </w:tcPr>
          <w:p w14:paraId="3C4940D1" w14:textId="59096833" w:rsidR="00A15F91" w:rsidRPr="008F5E00" w:rsidRDefault="00026B15" w:rsidP="008F5E00">
            <w:pPr>
              <w:widowControl/>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color w:val="auto"/>
              </w:rPr>
              <w:t>Mar 25-</w:t>
            </w:r>
            <w:r w:rsidR="00A15F91" w:rsidRPr="008F5E00">
              <w:rPr>
                <w:rFonts w:ascii="Times New Roman" w:eastAsia="Times New Roman" w:hAnsi="Times New Roman" w:cs="Times New Roman"/>
                <w:color w:val="auto"/>
              </w:rPr>
              <w:t xml:space="preserve">26 </w:t>
            </w:r>
          </w:p>
        </w:tc>
        <w:tc>
          <w:tcPr>
            <w:tcW w:w="1125" w:type="dxa"/>
            <w:hideMark/>
          </w:tcPr>
          <w:p w14:paraId="61487641" w14:textId="77777777" w:rsidR="00A15F91" w:rsidRPr="008F5E00" w:rsidRDefault="00A15F91" w:rsidP="00CC47EF">
            <w:pPr>
              <w:widowControl/>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8F5E00">
              <w:rPr>
                <w:rFonts w:ascii="Times New Roman" w:eastAsia="Times New Roman" w:hAnsi="Times New Roman" w:cs="Times New Roman"/>
                <w:color w:val="auto"/>
              </w:rPr>
              <w:t>$300</w:t>
            </w:r>
          </w:p>
        </w:tc>
      </w:tr>
      <w:tr w:rsidR="00026B15" w:rsidRPr="008F5E00" w14:paraId="1C8C5851" w14:textId="77777777" w:rsidTr="00F82222">
        <w:trPr>
          <w:trHeight w:val="315"/>
          <w:jc w:val="center"/>
        </w:trPr>
        <w:tc>
          <w:tcPr>
            <w:cnfStyle w:val="001000000000" w:firstRow="0" w:lastRow="0" w:firstColumn="1" w:lastColumn="0" w:oddVBand="0" w:evenVBand="0" w:oddHBand="0" w:evenHBand="0" w:firstRowFirstColumn="0" w:firstRowLastColumn="0" w:lastRowFirstColumn="0" w:lastRowLastColumn="0"/>
            <w:tcW w:w="6615" w:type="dxa"/>
            <w:hideMark/>
          </w:tcPr>
          <w:p w14:paraId="38373242" w14:textId="77777777" w:rsidR="00026B15" w:rsidRPr="008F5E00" w:rsidRDefault="00026B15" w:rsidP="00A10D08">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val="0"/>
                <w:color w:val="auto"/>
              </w:rPr>
            </w:pPr>
            <w:r w:rsidRPr="008F5E00">
              <w:rPr>
                <w:rFonts w:ascii="Times New Roman" w:eastAsia="Times New Roman" w:hAnsi="Times New Roman" w:cs="Times New Roman"/>
                <w:b w:val="0"/>
                <w:color w:val="auto"/>
              </w:rPr>
              <w:t>Health Law Workshop</w:t>
            </w:r>
          </w:p>
        </w:tc>
        <w:tc>
          <w:tcPr>
            <w:tcW w:w="1710" w:type="dxa"/>
            <w:hideMark/>
          </w:tcPr>
          <w:p w14:paraId="388FE844" w14:textId="77777777" w:rsidR="00026B15" w:rsidRPr="008F5E00" w:rsidRDefault="00026B15" w:rsidP="00A10D08">
            <w:pPr>
              <w:widowControl/>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Pr>
                <w:rFonts w:ascii="Times New Roman" w:eastAsia="Times New Roman" w:hAnsi="Times New Roman" w:cs="Times New Roman"/>
                <w:color w:val="auto"/>
              </w:rPr>
              <w:t>Apr</w:t>
            </w:r>
            <w:r w:rsidRPr="008F5E00">
              <w:rPr>
                <w:rFonts w:ascii="Times New Roman" w:eastAsia="Times New Roman" w:hAnsi="Times New Roman" w:cs="Times New Roman"/>
                <w:color w:val="auto"/>
              </w:rPr>
              <w:t xml:space="preserve"> 3</w:t>
            </w:r>
          </w:p>
        </w:tc>
        <w:tc>
          <w:tcPr>
            <w:tcW w:w="1125" w:type="dxa"/>
            <w:hideMark/>
          </w:tcPr>
          <w:p w14:paraId="03CE4DD3" w14:textId="77777777" w:rsidR="00026B15" w:rsidRPr="008F5E00" w:rsidRDefault="00026B15" w:rsidP="00A10D08">
            <w:pPr>
              <w:widowControl/>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8F5E00">
              <w:rPr>
                <w:rFonts w:ascii="Times New Roman" w:eastAsia="Times New Roman" w:hAnsi="Times New Roman" w:cs="Times New Roman"/>
                <w:color w:val="auto"/>
              </w:rPr>
              <w:t>$200</w:t>
            </w:r>
          </w:p>
        </w:tc>
      </w:tr>
      <w:tr w:rsidR="00026B15" w:rsidRPr="008F5E00" w14:paraId="247E5377" w14:textId="77777777" w:rsidTr="00F8222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615" w:type="dxa"/>
            <w:hideMark/>
          </w:tcPr>
          <w:p w14:paraId="224EE574" w14:textId="77777777" w:rsidR="00026B15" w:rsidRPr="008F5E00" w:rsidRDefault="00026B15" w:rsidP="009A24B0">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val="0"/>
                <w:color w:val="auto"/>
              </w:rPr>
            </w:pPr>
            <w:r w:rsidRPr="008F5E00">
              <w:rPr>
                <w:rFonts w:ascii="Times New Roman" w:eastAsia="Times New Roman" w:hAnsi="Times New Roman" w:cs="Times New Roman"/>
                <w:b w:val="0"/>
                <w:color w:val="auto"/>
              </w:rPr>
              <w:t>Women of Color Trailblazers Leadership Conference</w:t>
            </w:r>
          </w:p>
        </w:tc>
        <w:tc>
          <w:tcPr>
            <w:tcW w:w="1710" w:type="dxa"/>
            <w:hideMark/>
          </w:tcPr>
          <w:p w14:paraId="47C54A5D" w14:textId="77777777" w:rsidR="00026B15" w:rsidRPr="008F5E00" w:rsidRDefault="00026B15" w:rsidP="009A24B0">
            <w:pPr>
              <w:widowControl/>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Pr>
                <w:rFonts w:ascii="Times New Roman" w:eastAsia="Times New Roman" w:hAnsi="Times New Roman" w:cs="Times New Roman"/>
                <w:color w:val="auto"/>
              </w:rPr>
              <w:t>Apr</w:t>
            </w:r>
            <w:r w:rsidRPr="008F5E00">
              <w:rPr>
                <w:rFonts w:ascii="Times New Roman" w:eastAsia="Times New Roman" w:hAnsi="Times New Roman" w:cs="Times New Roman"/>
                <w:color w:val="auto"/>
              </w:rPr>
              <w:t xml:space="preserve"> 7</w:t>
            </w:r>
          </w:p>
        </w:tc>
        <w:tc>
          <w:tcPr>
            <w:tcW w:w="1125" w:type="dxa"/>
            <w:hideMark/>
          </w:tcPr>
          <w:p w14:paraId="76C2A69A" w14:textId="77777777" w:rsidR="00026B15" w:rsidRPr="008F5E00" w:rsidRDefault="00026B15" w:rsidP="009A24B0">
            <w:pPr>
              <w:widowControl/>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8F5E00">
              <w:rPr>
                <w:rFonts w:ascii="Times New Roman" w:eastAsia="Times New Roman" w:hAnsi="Times New Roman" w:cs="Times New Roman"/>
                <w:color w:val="auto"/>
              </w:rPr>
              <w:t>$1,500</w:t>
            </w:r>
          </w:p>
        </w:tc>
      </w:tr>
      <w:tr w:rsidR="00026B15" w:rsidRPr="008F5E00" w14:paraId="441DAE42" w14:textId="77777777" w:rsidTr="00F82222">
        <w:trPr>
          <w:trHeight w:val="315"/>
          <w:jc w:val="center"/>
        </w:trPr>
        <w:tc>
          <w:tcPr>
            <w:cnfStyle w:val="001000000000" w:firstRow="0" w:lastRow="0" w:firstColumn="1" w:lastColumn="0" w:oddVBand="0" w:evenVBand="0" w:oddHBand="0" w:evenHBand="0" w:firstRowFirstColumn="0" w:firstRowLastColumn="0" w:lastRowFirstColumn="0" w:lastRowLastColumn="0"/>
            <w:tcW w:w="6615" w:type="dxa"/>
            <w:hideMark/>
          </w:tcPr>
          <w:p w14:paraId="7BE2632C" w14:textId="77777777" w:rsidR="00026B15" w:rsidRPr="008F5E00" w:rsidRDefault="00026B15" w:rsidP="001A66BC">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val="0"/>
                <w:color w:val="auto"/>
              </w:rPr>
            </w:pPr>
            <w:r w:rsidRPr="008F5E00">
              <w:rPr>
                <w:rFonts w:ascii="Times New Roman" w:eastAsia="Times New Roman" w:hAnsi="Times New Roman" w:cs="Times New Roman"/>
                <w:b w:val="0"/>
                <w:color w:val="auto"/>
              </w:rPr>
              <w:t>U.S. Policy on the Israeli/Palestinian Conflict During the Trump Administration</w:t>
            </w:r>
          </w:p>
        </w:tc>
        <w:tc>
          <w:tcPr>
            <w:tcW w:w="1710" w:type="dxa"/>
            <w:hideMark/>
          </w:tcPr>
          <w:p w14:paraId="37038260" w14:textId="77777777" w:rsidR="00026B15" w:rsidRPr="008F5E00" w:rsidRDefault="00026B15" w:rsidP="001A66BC">
            <w:pPr>
              <w:widowControl/>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Pr>
                <w:rFonts w:ascii="Times New Roman" w:eastAsia="Times New Roman" w:hAnsi="Times New Roman" w:cs="Times New Roman"/>
                <w:color w:val="auto"/>
              </w:rPr>
              <w:t>Apr</w:t>
            </w:r>
            <w:r w:rsidRPr="008F5E00">
              <w:rPr>
                <w:rFonts w:ascii="Times New Roman" w:eastAsia="Times New Roman" w:hAnsi="Times New Roman" w:cs="Times New Roman"/>
                <w:color w:val="auto"/>
              </w:rPr>
              <w:t xml:space="preserve"> 11</w:t>
            </w:r>
          </w:p>
        </w:tc>
        <w:tc>
          <w:tcPr>
            <w:tcW w:w="1125" w:type="dxa"/>
            <w:hideMark/>
          </w:tcPr>
          <w:p w14:paraId="1CAD6C3A" w14:textId="77777777" w:rsidR="00026B15" w:rsidRPr="008F5E00" w:rsidRDefault="00026B15" w:rsidP="001A66BC">
            <w:pPr>
              <w:widowControl/>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8F5E00">
              <w:rPr>
                <w:rFonts w:ascii="Times New Roman" w:eastAsia="Times New Roman" w:hAnsi="Times New Roman" w:cs="Times New Roman"/>
                <w:color w:val="auto"/>
              </w:rPr>
              <w:t>$415</w:t>
            </w:r>
          </w:p>
        </w:tc>
      </w:tr>
      <w:tr w:rsidR="00026B15" w:rsidRPr="008F5E00" w14:paraId="13D65EE4" w14:textId="77777777" w:rsidTr="00F8222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615" w:type="dxa"/>
            <w:hideMark/>
          </w:tcPr>
          <w:p w14:paraId="1425C82F" w14:textId="77777777" w:rsidR="00026B15" w:rsidRPr="008F5E00" w:rsidRDefault="00026B15" w:rsidP="003D1C7D">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val="0"/>
              </w:rPr>
            </w:pPr>
            <w:r>
              <w:rPr>
                <w:rFonts w:ascii="Times New Roman" w:eastAsia="Times New Roman" w:hAnsi="Times New Roman" w:cs="Times New Roman"/>
                <w:b w:val="0"/>
              </w:rPr>
              <w:t>S</w:t>
            </w:r>
            <w:r w:rsidRPr="008F5E00">
              <w:rPr>
                <w:rFonts w:ascii="Times New Roman" w:eastAsia="Times New Roman" w:hAnsi="Times New Roman" w:cs="Times New Roman"/>
                <w:b w:val="0"/>
              </w:rPr>
              <w:t>tage production of a new African Opera, Irin Ajo (Odyssey of a Dream)</w:t>
            </w:r>
          </w:p>
        </w:tc>
        <w:tc>
          <w:tcPr>
            <w:tcW w:w="1710" w:type="dxa"/>
            <w:hideMark/>
          </w:tcPr>
          <w:p w14:paraId="087D7829" w14:textId="59BAD22F" w:rsidR="00026B15" w:rsidRPr="008F5E00" w:rsidRDefault="00026B15" w:rsidP="003D1C7D">
            <w:pPr>
              <w:widowControl/>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Apr 12-1</w:t>
            </w:r>
            <w:r w:rsidRPr="008F5E00">
              <w:rPr>
                <w:rFonts w:ascii="Times New Roman" w:eastAsia="Times New Roman" w:hAnsi="Times New Roman" w:cs="Times New Roman"/>
              </w:rPr>
              <w:t xml:space="preserve">3 </w:t>
            </w:r>
          </w:p>
        </w:tc>
        <w:tc>
          <w:tcPr>
            <w:tcW w:w="1125" w:type="dxa"/>
            <w:hideMark/>
          </w:tcPr>
          <w:p w14:paraId="50778281" w14:textId="77777777" w:rsidR="00026B15" w:rsidRPr="008F5E00" w:rsidRDefault="00026B15" w:rsidP="003D1C7D">
            <w:pPr>
              <w:widowControl/>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8F5E00">
              <w:rPr>
                <w:rFonts w:ascii="Times New Roman" w:eastAsia="Times New Roman" w:hAnsi="Times New Roman" w:cs="Times New Roman"/>
                <w:color w:val="auto"/>
              </w:rPr>
              <w:t>$500</w:t>
            </w:r>
          </w:p>
        </w:tc>
      </w:tr>
      <w:tr w:rsidR="00A15F91" w:rsidRPr="008F5E00" w14:paraId="631725F0" w14:textId="77777777" w:rsidTr="00F82222">
        <w:trPr>
          <w:trHeight w:val="315"/>
          <w:jc w:val="center"/>
        </w:trPr>
        <w:tc>
          <w:tcPr>
            <w:cnfStyle w:val="001000000000" w:firstRow="0" w:lastRow="0" w:firstColumn="1" w:lastColumn="0" w:oddVBand="0" w:evenVBand="0" w:oddHBand="0" w:evenHBand="0" w:firstRowFirstColumn="0" w:firstRowLastColumn="0" w:lastRowFirstColumn="0" w:lastRowLastColumn="0"/>
            <w:tcW w:w="6615" w:type="dxa"/>
            <w:hideMark/>
          </w:tcPr>
          <w:p w14:paraId="7FA1E402" w14:textId="77777777" w:rsidR="00A15F91" w:rsidRPr="008F5E00" w:rsidRDefault="00A15F91" w:rsidP="00CC47EF">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val="0"/>
                <w:color w:val="auto"/>
              </w:rPr>
            </w:pPr>
            <w:r w:rsidRPr="008F5E00">
              <w:rPr>
                <w:rFonts w:ascii="Times New Roman" w:eastAsia="Times New Roman" w:hAnsi="Times New Roman" w:cs="Times New Roman"/>
                <w:b w:val="0"/>
                <w:color w:val="auto"/>
              </w:rPr>
              <w:t>Marcondo Nuestra Huella: The Revolution Starts with the Self</w:t>
            </w:r>
          </w:p>
        </w:tc>
        <w:tc>
          <w:tcPr>
            <w:tcW w:w="1710" w:type="dxa"/>
            <w:hideMark/>
          </w:tcPr>
          <w:p w14:paraId="00B511B9" w14:textId="6D23BA71" w:rsidR="00A15F91" w:rsidRPr="008F5E00" w:rsidRDefault="00026B15" w:rsidP="00CC47EF">
            <w:pPr>
              <w:widowControl/>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Pr>
                <w:rFonts w:ascii="Times New Roman" w:eastAsia="Times New Roman" w:hAnsi="Times New Roman" w:cs="Times New Roman"/>
                <w:color w:val="auto"/>
              </w:rPr>
              <w:t>Apr</w:t>
            </w:r>
            <w:r w:rsidR="00A15F91" w:rsidRPr="008F5E00">
              <w:rPr>
                <w:rFonts w:ascii="Times New Roman" w:eastAsia="Times New Roman" w:hAnsi="Times New Roman" w:cs="Times New Roman"/>
                <w:color w:val="auto"/>
              </w:rPr>
              <w:t xml:space="preserve"> 13-15</w:t>
            </w:r>
          </w:p>
        </w:tc>
        <w:tc>
          <w:tcPr>
            <w:tcW w:w="1125" w:type="dxa"/>
            <w:hideMark/>
          </w:tcPr>
          <w:p w14:paraId="3D759663" w14:textId="77777777" w:rsidR="00A15F91" w:rsidRPr="008F5E00" w:rsidRDefault="00A15F91" w:rsidP="00CC47EF">
            <w:pPr>
              <w:widowControl/>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8F5E00">
              <w:rPr>
                <w:rFonts w:ascii="Times New Roman" w:eastAsia="Times New Roman" w:hAnsi="Times New Roman" w:cs="Times New Roman"/>
                <w:color w:val="auto"/>
              </w:rPr>
              <w:t>$800</w:t>
            </w:r>
          </w:p>
        </w:tc>
      </w:tr>
      <w:tr w:rsidR="00A15F91" w:rsidRPr="008F5E00" w14:paraId="0B122F29" w14:textId="77777777" w:rsidTr="00F8222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615" w:type="dxa"/>
            <w:hideMark/>
          </w:tcPr>
          <w:p w14:paraId="0A17428E" w14:textId="77777777" w:rsidR="00A15F91" w:rsidRPr="008F5E00" w:rsidRDefault="00A15F91" w:rsidP="00CC47EF">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val="0"/>
                <w:color w:val="auto"/>
              </w:rPr>
            </w:pPr>
            <w:r w:rsidRPr="008F5E00">
              <w:rPr>
                <w:rFonts w:ascii="Times New Roman" w:eastAsia="Times New Roman" w:hAnsi="Times New Roman" w:cs="Times New Roman"/>
                <w:b w:val="0"/>
                <w:color w:val="auto"/>
              </w:rPr>
              <w:t>Mending Masculinity Tour</w:t>
            </w:r>
          </w:p>
        </w:tc>
        <w:tc>
          <w:tcPr>
            <w:tcW w:w="1710" w:type="dxa"/>
            <w:hideMark/>
          </w:tcPr>
          <w:p w14:paraId="3960F74F" w14:textId="4B2AC35D" w:rsidR="00A15F91" w:rsidRPr="008F5E00" w:rsidRDefault="00026B15" w:rsidP="00CC47EF">
            <w:pPr>
              <w:widowControl/>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Pr>
                <w:rFonts w:ascii="Times New Roman" w:eastAsia="Times New Roman" w:hAnsi="Times New Roman" w:cs="Times New Roman"/>
                <w:color w:val="auto"/>
              </w:rPr>
              <w:t>Apr</w:t>
            </w:r>
            <w:r w:rsidR="00A15F91" w:rsidRPr="008F5E00">
              <w:rPr>
                <w:rFonts w:ascii="Times New Roman" w:eastAsia="Times New Roman" w:hAnsi="Times New Roman" w:cs="Times New Roman"/>
                <w:color w:val="auto"/>
              </w:rPr>
              <w:t xml:space="preserve"> 14</w:t>
            </w:r>
          </w:p>
        </w:tc>
        <w:tc>
          <w:tcPr>
            <w:tcW w:w="1125" w:type="dxa"/>
            <w:hideMark/>
          </w:tcPr>
          <w:p w14:paraId="57FC749A" w14:textId="77777777" w:rsidR="00A15F91" w:rsidRPr="008F5E00" w:rsidRDefault="00A15F91" w:rsidP="00CC47EF">
            <w:pPr>
              <w:widowControl/>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8F5E00">
              <w:rPr>
                <w:rFonts w:ascii="Times New Roman" w:eastAsia="Times New Roman" w:hAnsi="Times New Roman" w:cs="Times New Roman"/>
                <w:color w:val="auto"/>
              </w:rPr>
              <w:t>$416</w:t>
            </w:r>
          </w:p>
        </w:tc>
      </w:tr>
    </w:tbl>
    <w:p w14:paraId="3272D4A4" w14:textId="77777777" w:rsidR="00FB64CE" w:rsidRDefault="00FB64CE">
      <w:pPr>
        <w:pStyle w:val="Normal1"/>
        <w:spacing w:after="0"/>
        <w:ind w:left="1440" w:hanging="1440"/>
        <w:rPr>
          <w:rFonts w:ascii="Times New Roman" w:eastAsia="Times New Roman" w:hAnsi="Times New Roman" w:cs="Times New Roman"/>
          <w:i/>
          <w:sz w:val="24"/>
          <w:szCs w:val="24"/>
        </w:rPr>
      </w:pPr>
    </w:p>
    <w:p w14:paraId="14FF3C34" w14:textId="77777777" w:rsidR="00A15F91" w:rsidRDefault="00A15F91" w:rsidP="00A15F91">
      <w:pPr>
        <w:pStyle w:val="Normal1"/>
        <w:spacing w:after="0"/>
        <w:rPr>
          <w:rFonts w:ascii="Times New Roman" w:hAnsi="Times New Roman"/>
          <w:sz w:val="24"/>
        </w:rPr>
      </w:pPr>
      <w:r>
        <w:rPr>
          <w:rFonts w:ascii="Times New Roman" w:hAnsi="Times New Roman"/>
          <w:sz w:val="24"/>
        </w:rPr>
        <w:t xml:space="preserve">In the 2018-2019 academic year, IIF funding deadlines are: September 15, November 15, and February 15.  </w:t>
      </w:r>
    </w:p>
    <w:p w14:paraId="1EB54A98" w14:textId="77777777" w:rsidR="00A15F91" w:rsidRDefault="00A15F91">
      <w:pPr>
        <w:pStyle w:val="Normal1"/>
        <w:spacing w:after="0"/>
        <w:ind w:left="1440" w:hanging="1440"/>
        <w:rPr>
          <w:rFonts w:ascii="Times New Roman" w:eastAsia="Times New Roman" w:hAnsi="Times New Roman" w:cs="Times New Roman"/>
          <w:i/>
          <w:sz w:val="24"/>
          <w:szCs w:val="24"/>
        </w:rPr>
      </w:pPr>
    </w:p>
    <w:p w14:paraId="08075101" w14:textId="10EAAFB9" w:rsidR="007A3DE1" w:rsidRPr="0057277E" w:rsidRDefault="009F049C" w:rsidP="007A3DE1">
      <w:pPr>
        <w:pStyle w:val="Normal1"/>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Listening Circle: Students of Color Committee</w:t>
      </w:r>
    </w:p>
    <w:p w14:paraId="1BBB4C63" w14:textId="190C10D7" w:rsidR="007A3DE1" w:rsidRDefault="009F049C" w:rsidP="007A3DE1">
      <w:pPr>
        <w:pStyle w:val="Normal1"/>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committee sought to play a more proactive role in addressing community concerns and improving campus climate.  To that end, based on work we did for last year’s BOOM! Conference, we strategized about starting a listening circle that would allow different campus groups to </w:t>
      </w:r>
      <w:r w:rsidR="00AF6C14">
        <w:rPr>
          <w:rFonts w:ascii="Times New Roman" w:eastAsia="Times New Roman" w:hAnsi="Times New Roman" w:cs="Times New Roman"/>
          <w:sz w:val="24"/>
          <w:szCs w:val="24"/>
        </w:rPr>
        <w:t>meet with the committee</w:t>
      </w:r>
      <w:r>
        <w:rPr>
          <w:rFonts w:ascii="Times New Roman" w:eastAsia="Times New Roman" w:hAnsi="Times New Roman" w:cs="Times New Roman"/>
          <w:sz w:val="24"/>
          <w:szCs w:val="24"/>
        </w:rPr>
        <w:t xml:space="preserve"> to </w:t>
      </w:r>
      <w:r w:rsidR="00AF6C14">
        <w:rPr>
          <w:rFonts w:ascii="Times New Roman" w:eastAsia="Times New Roman" w:hAnsi="Times New Roman" w:cs="Times New Roman"/>
          <w:sz w:val="24"/>
          <w:szCs w:val="24"/>
        </w:rPr>
        <w:t xml:space="preserve">discuss </w:t>
      </w:r>
      <w:r w:rsidR="00FC254E">
        <w:rPr>
          <w:rFonts w:ascii="Times New Roman" w:eastAsia="Times New Roman" w:hAnsi="Times New Roman" w:cs="Times New Roman"/>
          <w:sz w:val="24"/>
          <w:szCs w:val="24"/>
        </w:rPr>
        <w:t xml:space="preserve">pressing </w:t>
      </w:r>
      <w:r w:rsidR="00AF6C14">
        <w:rPr>
          <w:rFonts w:ascii="Times New Roman" w:eastAsia="Times New Roman" w:hAnsi="Times New Roman" w:cs="Times New Roman"/>
          <w:sz w:val="24"/>
          <w:szCs w:val="24"/>
        </w:rPr>
        <w:t xml:space="preserve">topics </w:t>
      </w:r>
      <w:r w:rsidR="00A6676B">
        <w:rPr>
          <w:rFonts w:ascii="Times New Roman" w:eastAsia="Times New Roman" w:hAnsi="Times New Roman" w:cs="Times New Roman"/>
          <w:sz w:val="24"/>
          <w:szCs w:val="24"/>
        </w:rPr>
        <w:t>on</w:t>
      </w:r>
      <w:r>
        <w:rPr>
          <w:rFonts w:ascii="Times New Roman" w:eastAsia="Times New Roman" w:hAnsi="Times New Roman" w:cs="Times New Roman"/>
          <w:sz w:val="24"/>
          <w:szCs w:val="24"/>
        </w:rPr>
        <w:t xml:space="preserve"> campus climate.  </w:t>
      </w:r>
      <w:r w:rsidR="00AF6C14">
        <w:rPr>
          <w:rFonts w:ascii="Times New Roman" w:eastAsia="Times New Roman" w:hAnsi="Times New Roman" w:cs="Times New Roman"/>
          <w:sz w:val="24"/>
          <w:szCs w:val="24"/>
        </w:rPr>
        <w:t>This year, w</w:t>
      </w:r>
      <w:r>
        <w:rPr>
          <w:rFonts w:ascii="Times New Roman" w:eastAsia="Times New Roman" w:hAnsi="Times New Roman" w:cs="Times New Roman"/>
          <w:sz w:val="24"/>
          <w:szCs w:val="24"/>
        </w:rPr>
        <w:t xml:space="preserve">e met with the newly formed Students of Color Committee (SOCC) to </w:t>
      </w:r>
      <w:r w:rsidR="00AF6C14">
        <w:rPr>
          <w:rFonts w:ascii="Times New Roman" w:eastAsia="Times New Roman" w:hAnsi="Times New Roman" w:cs="Times New Roman"/>
          <w:sz w:val="24"/>
          <w:szCs w:val="24"/>
        </w:rPr>
        <w:t>hear about</w:t>
      </w:r>
      <w:r>
        <w:rPr>
          <w:rFonts w:ascii="Times New Roman" w:eastAsia="Times New Roman" w:hAnsi="Times New Roman" w:cs="Times New Roman"/>
          <w:sz w:val="24"/>
          <w:szCs w:val="24"/>
        </w:rPr>
        <w:t xml:space="preserve"> student experiences in the classroom, the dining halls, and residence halls</w:t>
      </w:r>
      <w:r w:rsidR="007A3DE1">
        <w:rPr>
          <w:rFonts w:ascii="Times New Roman" w:eastAsia="Times New Roman" w:hAnsi="Times New Roman" w:cs="Times New Roman"/>
          <w:sz w:val="24"/>
          <w:szCs w:val="24"/>
        </w:rPr>
        <w:t xml:space="preserve">.  </w:t>
      </w:r>
    </w:p>
    <w:p w14:paraId="73ECE352" w14:textId="77777777" w:rsidR="009F049C" w:rsidRDefault="009F049C" w:rsidP="007A3DE1">
      <w:pPr>
        <w:pStyle w:val="Normal1"/>
        <w:spacing w:after="0"/>
        <w:rPr>
          <w:rFonts w:ascii="Times New Roman" w:eastAsia="Times New Roman" w:hAnsi="Times New Roman" w:cs="Times New Roman"/>
          <w:sz w:val="24"/>
          <w:szCs w:val="24"/>
        </w:rPr>
      </w:pPr>
    </w:p>
    <w:p w14:paraId="219CB595" w14:textId="77777777" w:rsidR="008F5E00" w:rsidRDefault="008F5E00" w:rsidP="007A3DE1">
      <w:pPr>
        <w:pStyle w:val="Normal1"/>
        <w:spacing w:after="0"/>
        <w:rPr>
          <w:rFonts w:ascii="Times New Roman" w:eastAsia="Times New Roman" w:hAnsi="Times New Roman" w:cs="Times New Roman"/>
          <w:sz w:val="24"/>
          <w:szCs w:val="24"/>
        </w:rPr>
      </w:pPr>
    </w:p>
    <w:p w14:paraId="13EED139" w14:textId="77777777" w:rsidR="008F5E00" w:rsidRDefault="008F5E00" w:rsidP="007A3DE1">
      <w:pPr>
        <w:pStyle w:val="Normal1"/>
        <w:spacing w:after="0"/>
        <w:rPr>
          <w:rFonts w:ascii="Times New Roman" w:eastAsia="Times New Roman" w:hAnsi="Times New Roman" w:cs="Times New Roman"/>
          <w:sz w:val="24"/>
          <w:szCs w:val="24"/>
        </w:rPr>
      </w:pPr>
    </w:p>
    <w:p w14:paraId="5393FDEC" w14:textId="178EE14B" w:rsidR="0033378D" w:rsidRDefault="008F5E00">
      <w:pPr>
        <w:pStyle w:val="Normal1"/>
        <w:spacing w:after="0"/>
        <w:ind w:left="1440" w:hanging="1440"/>
        <w:rPr>
          <w:rFonts w:ascii="Times New Roman" w:eastAsia="Times New Roman" w:hAnsi="Times New Roman" w:cs="Times New Roman"/>
          <w:i/>
          <w:sz w:val="24"/>
          <w:szCs w:val="24"/>
        </w:rPr>
      </w:pPr>
      <w:r>
        <w:rPr>
          <w:rFonts w:ascii="Times New Roman" w:eastAsia="Times New Roman" w:hAnsi="Times New Roman" w:cs="Times New Roman"/>
          <w:i/>
          <w:sz w:val="24"/>
          <w:szCs w:val="24"/>
        </w:rPr>
        <w:t>Communicating, Listening, and</w:t>
      </w:r>
      <w:r w:rsidR="009F049C">
        <w:rPr>
          <w:rFonts w:ascii="Times New Roman" w:eastAsia="Times New Roman" w:hAnsi="Times New Roman" w:cs="Times New Roman"/>
          <w:i/>
          <w:sz w:val="24"/>
          <w:szCs w:val="24"/>
        </w:rPr>
        <w:t xml:space="preserve"> </w:t>
      </w:r>
      <w:r w:rsidR="0057277E">
        <w:rPr>
          <w:rFonts w:ascii="Times New Roman" w:eastAsia="Times New Roman" w:hAnsi="Times New Roman" w:cs="Times New Roman"/>
          <w:i/>
          <w:sz w:val="24"/>
          <w:szCs w:val="24"/>
        </w:rPr>
        <w:t>Reporting Out</w:t>
      </w:r>
    </w:p>
    <w:p w14:paraId="4DBE649C" w14:textId="6EED9D99" w:rsidR="009F049C" w:rsidRDefault="009F049C" w:rsidP="0033378D">
      <w:pPr>
        <w:pStyle w:val="Normal1"/>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 the year, we asked </w:t>
      </w:r>
      <w:r w:rsidR="0076638B">
        <w:rPr>
          <w:rFonts w:ascii="Times New Roman" w:eastAsia="Times New Roman" w:hAnsi="Times New Roman" w:cs="Times New Roman"/>
          <w:sz w:val="24"/>
          <w:szCs w:val="24"/>
        </w:rPr>
        <w:t xml:space="preserve">ourselves about various </w:t>
      </w:r>
      <w:r w:rsidR="00150213">
        <w:rPr>
          <w:rFonts w:ascii="Times New Roman" w:eastAsia="Times New Roman" w:hAnsi="Times New Roman" w:cs="Times New Roman"/>
          <w:sz w:val="24"/>
          <w:szCs w:val="24"/>
        </w:rPr>
        <w:t>means</w:t>
      </w:r>
      <w:r w:rsidR="00231CD6">
        <w:rPr>
          <w:rFonts w:ascii="Times New Roman" w:eastAsia="Times New Roman" w:hAnsi="Times New Roman" w:cs="Times New Roman"/>
          <w:sz w:val="24"/>
          <w:szCs w:val="24"/>
        </w:rPr>
        <w:t xml:space="preserve"> to speak with the campus community, to hear from the community about DEI and climate, and to report out about </w:t>
      </w:r>
      <w:r w:rsidR="00AF6C14">
        <w:rPr>
          <w:rFonts w:ascii="Times New Roman" w:eastAsia="Times New Roman" w:hAnsi="Times New Roman" w:cs="Times New Roman"/>
          <w:sz w:val="24"/>
          <w:szCs w:val="24"/>
        </w:rPr>
        <w:t xml:space="preserve">issues, </w:t>
      </w:r>
      <w:r w:rsidR="00231CD6">
        <w:rPr>
          <w:rFonts w:ascii="Times New Roman" w:eastAsia="Times New Roman" w:hAnsi="Times New Roman" w:cs="Times New Roman"/>
          <w:sz w:val="24"/>
          <w:szCs w:val="24"/>
        </w:rPr>
        <w:t>resources</w:t>
      </w:r>
      <w:r w:rsidR="00AF6C14">
        <w:rPr>
          <w:rFonts w:ascii="Times New Roman" w:eastAsia="Times New Roman" w:hAnsi="Times New Roman" w:cs="Times New Roman"/>
          <w:sz w:val="24"/>
          <w:szCs w:val="24"/>
        </w:rPr>
        <w:t>,</w:t>
      </w:r>
      <w:r w:rsidR="00231CD6">
        <w:rPr>
          <w:rFonts w:ascii="Times New Roman" w:eastAsia="Times New Roman" w:hAnsi="Times New Roman" w:cs="Times New Roman"/>
          <w:sz w:val="24"/>
          <w:szCs w:val="24"/>
        </w:rPr>
        <w:t xml:space="preserve"> and </w:t>
      </w:r>
      <w:r w:rsidR="002D29D0">
        <w:rPr>
          <w:rFonts w:ascii="Times New Roman" w:eastAsia="Times New Roman" w:hAnsi="Times New Roman" w:cs="Times New Roman"/>
          <w:sz w:val="24"/>
          <w:szCs w:val="24"/>
        </w:rPr>
        <w:t xml:space="preserve">protocols </w:t>
      </w:r>
      <w:r w:rsidR="0076638B">
        <w:rPr>
          <w:rFonts w:ascii="Times New Roman" w:eastAsia="Times New Roman" w:hAnsi="Times New Roman" w:cs="Times New Roman"/>
          <w:sz w:val="24"/>
          <w:szCs w:val="24"/>
        </w:rPr>
        <w:t>at MHC</w:t>
      </w:r>
      <w:r>
        <w:rPr>
          <w:rFonts w:ascii="Times New Roman" w:eastAsia="Times New Roman" w:hAnsi="Times New Roman" w:cs="Times New Roman"/>
          <w:sz w:val="24"/>
          <w:szCs w:val="24"/>
        </w:rPr>
        <w:t xml:space="preserve">.  While </w:t>
      </w:r>
      <w:r w:rsidR="007A3DE1">
        <w:rPr>
          <w:rFonts w:ascii="Times New Roman" w:eastAsia="Times New Roman" w:hAnsi="Times New Roman" w:cs="Times New Roman"/>
          <w:sz w:val="24"/>
          <w:szCs w:val="24"/>
        </w:rPr>
        <w:t>BOOM!</w:t>
      </w:r>
      <w:r>
        <w:rPr>
          <w:rFonts w:ascii="Times New Roman" w:eastAsia="Times New Roman" w:hAnsi="Times New Roman" w:cs="Times New Roman"/>
          <w:sz w:val="24"/>
          <w:szCs w:val="24"/>
        </w:rPr>
        <w:t xml:space="preserve"> 2018 gave us the opportunity to attend workshops</w:t>
      </w:r>
      <w:r w:rsidR="00804D8E">
        <w:rPr>
          <w:rFonts w:ascii="Times New Roman" w:eastAsia="Times New Roman" w:hAnsi="Times New Roman" w:cs="Times New Roman"/>
          <w:sz w:val="24"/>
          <w:szCs w:val="24"/>
        </w:rPr>
        <w:t>, lectures, mixers,</w:t>
      </w:r>
      <w:r>
        <w:rPr>
          <w:rFonts w:ascii="Times New Roman" w:eastAsia="Times New Roman" w:hAnsi="Times New Roman" w:cs="Times New Roman"/>
          <w:sz w:val="24"/>
          <w:szCs w:val="24"/>
        </w:rPr>
        <w:t xml:space="preserve"> and </w:t>
      </w:r>
      <w:r w:rsidR="00804D8E">
        <w:rPr>
          <w:rFonts w:ascii="Times New Roman" w:eastAsia="Times New Roman" w:hAnsi="Times New Roman" w:cs="Times New Roman"/>
          <w:sz w:val="24"/>
          <w:szCs w:val="24"/>
        </w:rPr>
        <w:t xml:space="preserve">other </w:t>
      </w:r>
      <w:r>
        <w:rPr>
          <w:rFonts w:ascii="Times New Roman" w:eastAsia="Times New Roman" w:hAnsi="Times New Roman" w:cs="Times New Roman"/>
          <w:sz w:val="24"/>
          <w:szCs w:val="24"/>
        </w:rPr>
        <w:t xml:space="preserve">events, it also </w:t>
      </w:r>
      <w:r w:rsidR="00814974">
        <w:rPr>
          <w:rFonts w:ascii="Times New Roman" w:eastAsia="Times New Roman" w:hAnsi="Times New Roman" w:cs="Times New Roman"/>
          <w:sz w:val="24"/>
          <w:szCs w:val="24"/>
        </w:rPr>
        <w:t>compelled</w:t>
      </w:r>
      <w:r>
        <w:rPr>
          <w:rFonts w:ascii="Times New Roman" w:eastAsia="Times New Roman" w:hAnsi="Times New Roman" w:cs="Times New Roman"/>
          <w:sz w:val="24"/>
          <w:szCs w:val="24"/>
        </w:rPr>
        <w:t xml:space="preserve"> us to discuss </w:t>
      </w:r>
      <w:r w:rsidR="00700284">
        <w:rPr>
          <w:rFonts w:ascii="Times New Roman" w:eastAsia="Times New Roman" w:hAnsi="Times New Roman" w:cs="Times New Roman"/>
          <w:sz w:val="24"/>
          <w:szCs w:val="24"/>
        </w:rPr>
        <w:t>spurring structural change</w:t>
      </w:r>
      <w:r>
        <w:rPr>
          <w:rFonts w:ascii="Times New Roman" w:eastAsia="Times New Roman" w:hAnsi="Times New Roman" w:cs="Times New Roman"/>
          <w:sz w:val="24"/>
          <w:szCs w:val="24"/>
        </w:rPr>
        <w:t xml:space="preserve">.  Topics and suggestions that came up during these discussions included </w:t>
      </w:r>
      <w:r w:rsidR="00700284">
        <w:rPr>
          <w:rFonts w:ascii="Times New Roman" w:eastAsia="Times New Roman" w:hAnsi="Times New Roman" w:cs="Times New Roman"/>
          <w:sz w:val="24"/>
          <w:szCs w:val="24"/>
        </w:rPr>
        <w:t xml:space="preserve">current processes for </w:t>
      </w:r>
      <w:r>
        <w:rPr>
          <w:rFonts w:ascii="Times New Roman" w:eastAsia="Times New Roman" w:hAnsi="Times New Roman" w:cs="Times New Roman"/>
          <w:sz w:val="24"/>
          <w:szCs w:val="24"/>
        </w:rPr>
        <w:t>bias-incident reporting</w:t>
      </w:r>
      <w:r w:rsidR="007002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strategies for accountability</w:t>
      </w:r>
      <w:r w:rsidR="005935C9">
        <w:rPr>
          <w:rFonts w:ascii="Times New Roman" w:eastAsia="Times New Roman" w:hAnsi="Times New Roman" w:cs="Times New Roman"/>
          <w:sz w:val="24"/>
          <w:szCs w:val="24"/>
        </w:rPr>
        <w:t xml:space="preserve"> in the classroom</w:t>
      </w:r>
      <w:r w:rsidR="004C6B2B">
        <w:rPr>
          <w:rFonts w:ascii="Times New Roman" w:eastAsia="Times New Roman" w:hAnsi="Times New Roman" w:cs="Times New Roman"/>
          <w:sz w:val="24"/>
          <w:szCs w:val="24"/>
        </w:rPr>
        <w:t xml:space="preserve"> (for instance,</w:t>
      </w:r>
      <w:r>
        <w:rPr>
          <w:rFonts w:ascii="Times New Roman" w:eastAsia="Times New Roman" w:hAnsi="Times New Roman" w:cs="Times New Roman"/>
          <w:sz w:val="24"/>
          <w:szCs w:val="24"/>
        </w:rPr>
        <w:t xml:space="preserve"> adding an anonymized section on classroom climate </w:t>
      </w:r>
      <w:r w:rsidR="00700284">
        <w:rPr>
          <w:rFonts w:ascii="Times New Roman" w:eastAsia="Times New Roman" w:hAnsi="Times New Roman" w:cs="Times New Roman"/>
          <w:sz w:val="24"/>
          <w:szCs w:val="24"/>
        </w:rPr>
        <w:t>to</w:t>
      </w:r>
      <w:r w:rsidR="004C6B2B">
        <w:rPr>
          <w:rFonts w:ascii="Times New Roman" w:eastAsia="Times New Roman" w:hAnsi="Times New Roman" w:cs="Times New Roman"/>
          <w:sz w:val="24"/>
          <w:szCs w:val="24"/>
        </w:rPr>
        <w:t xml:space="preserve"> teaching evaluations); and community installation projects sponsored by the MCCL.</w:t>
      </w:r>
    </w:p>
    <w:p w14:paraId="2F377456" w14:textId="77777777" w:rsidR="00686DED" w:rsidRDefault="00686DED" w:rsidP="0033378D">
      <w:pPr>
        <w:pStyle w:val="Normal1"/>
        <w:spacing w:after="0"/>
        <w:rPr>
          <w:rFonts w:ascii="Times New Roman" w:eastAsia="Times New Roman" w:hAnsi="Times New Roman" w:cs="Times New Roman"/>
          <w:sz w:val="24"/>
          <w:szCs w:val="24"/>
        </w:rPr>
      </w:pPr>
    </w:p>
    <w:p w14:paraId="69197C41" w14:textId="77777777" w:rsidR="006178FE" w:rsidRDefault="006178FE" w:rsidP="0033378D">
      <w:pPr>
        <w:pStyle w:val="Normal1"/>
        <w:spacing w:after="0"/>
        <w:rPr>
          <w:rFonts w:ascii="Times New Roman" w:eastAsia="Times New Roman" w:hAnsi="Times New Roman" w:cs="Times New Roman"/>
          <w:sz w:val="24"/>
          <w:szCs w:val="24"/>
        </w:rPr>
      </w:pPr>
    </w:p>
    <w:p w14:paraId="51D9BA03" w14:textId="05241DA6" w:rsidR="0033378D" w:rsidRPr="00477C3D" w:rsidRDefault="00477C3D">
      <w:pPr>
        <w:pStyle w:val="Normal1"/>
        <w:spacing w:after="0"/>
        <w:ind w:left="1440" w:hanging="1440"/>
        <w:rPr>
          <w:rFonts w:ascii="Times New Roman" w:eastAsia="Times New Roman" w:hAnsi="Times New Roman" w:cs="Times New Roman"/>
          <w:sz w:val="24"/>
          <w:szCs w:val="24"/>
          <w:u w:val="single"/>
        </w:rPr>
      </w:pPr>
      <w:r w:rsidRPr="00477C3D">
        <w:rPr>
          <w:rFonts w:ascii="Times New Roman" w:eastAsia="Times New Roman" w:hAnsi="Times New Roman" w:cs="Times New Roman"/>
          <w:sz w:val="24"/>
          <w:szCs w:val="24"/>
          <w:u w:val="single"/>
        </w:rPr>
        <w:t>Goals for 2018-19</w:t>
      </w:r>
    </w:p>
    <w:p w14:paraId="0CBB8DBA" w14:textId="3156285C" w:rsidR="00FB64CE" w:rsidRDefault="009F049C">
      <w:pPr>
        <w:pStyle w:val="Normal1"/>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MCCL has been through and anticipates fluctuat</w:t>
      </w:r>
      <w:r w:rsidR="002B640C">
        <w:rPr>
          <w:rFonts w:ascii="Times New Roman" w:eastAsia="Times New Roman" w:hAnsi="Times New Roman" w:cs="Times New Roman"/>
          <w:sz w:val="24"/>
          <w:szCs w:val="24"/>
        </w:rPr>
        <w:t xml:space="preserve">ions in committee membership.  Just as the committee welcomes Jared Schwartzer, we </w:t>
      </w:r>
      <w:r w:rsidR="00F3444F">
        <w:rPr>
          <w:rFonts w:ascii="Times New Roman" w:eastAsia="Times New Roman" w:hAnsi="Times New Roman" w:cs="Times New Roman"/>
          <w:sz w:val="24"/>
          <w:szCs w:val="24"/>
        </w:rPr>
        <w:t>will</w:t>
      </w:r>
      <w:r w:rsidR="002B640C">
        <w:rPr>
          <w:rFonts w:ascii="Times New Roman" w:eastAsia="Times New Roman" w:hAnsi="Times New Roman" w:cs="Times New Roman"/>
          <w:sz w:val="24"/>
          <w:szCs w:val="24"/>
        </w:rPr>
        <w:t xml:space="preserve"> need </w:t>
      </w:r>
      <w:r>
        <w:rPr>
          <w:rFonts w:ascii="Times New Roman" w:eastAsia="Times New Roman" w:hAnsi="Times New Roman" w:cs="Times New Roman"/>
          <w:sz w:val="24"/>
          <w:szCs w:val="24"/>
        </w:rPr>
        <w:t xml:space="preserve">to fill </w:t>
      </w:r>
      <w:r w:rsidR="002B640C">
        <w:rPr>
          <w:rFonts w:ascii="Times New Roman" w:eastAsia="Times New Roman" w:hAnsi="Times New Roman" w:cs="Times New Roman"/>
          <w:sz w:val="24"/>
          <w:szCs w:val="24"/>
        </w:rPr>
        <w:t>two staff vacancies</w:t>
      </w:r>
      <w:r>
        <w:rPr>
          <w:rFonts w:ascii="Times New Roman" w:eastAsia="Times New Roman" w:hAnsi="Times New Roman" w:cs="Times New Roman"/>
          <w:sz w:val="24"/>
          <w:szCs w:val="24"/>
        </w:rPr>
        <w:t xml:space="preserve">, </w:t>
      </w:r>
      <w:r w:rsidR="002B640C">
        <w:rPr>
          <w:rFonts w:ascii="Times New Roman" w:eastAsia="Times New Roman" w:hAnsi="Times New Roman" w:cs="Times New Roman"/>
          <w:sz w:val="24"/>
          <w:szCs w:val="24"/>
        </w:rPr>
        <w:t xml:space="preserve">and make one temporary faculty appointment, </w:t>
      </w:r>
      <w:r>
        <w:rPr>
          <w:rFonts w:ascii="Times New Roman" w:eastAsia="Times New Roman" w:hAnsi="Times New Roman" w:cs="Times New Roman"/>
          <w:sz w:val="24"/>
          <w:szCs w:val="24"/>
        </w:rPr>
        <w:t xml:space="preserve">which will help determine committee leadership.  </w:t>
      </w:r>
      <w:r w:rsidR="00101134">
        <w:rPr>
          <w:rFonts w:ascii="Times New Roman" w:eastAsia="Times New Roman" w:hAnsi="Times New Roman" w:cs="Times New Roman"/>
          <w:sz w:val="24"/>
          <w:szCs w:val="24"/>
        </w:rPr>
        <w:t>We look</w:t>
      </w:r>
      <w:r>
        <w:rPr>
          <w:rFonts w:ascii="Times New Roman" w:eastAsia="Times New Roman" w:hAnsi="Times New Roman" w:cs="Times New Roman"/>
          <w:sz w:val="24"/>
          <w:szCs w:val="24"/>
        </w:rPr>
        <w:t xml:space="preserve"> </w:t>
      </w:r>
      <w:r w:rsidR="00686DED">
        <w:rPr>
          <w:rFonts w:ascii="Times New Roman" w:eastAsia="Times New Roman" w:hAnsi="Times New Roman" w:cs="Times New Roman"/>
          <w:sz w:val="24"/>
          <w:szCs w:val="24"/>
        </w:rPr>
        <w:t xml:space="preserve">forward to working with </w:t>
      </w:r>
      <w:r w:rsidR="002B640C">
        <w:rPr>
          <w:rFonts w:ascii="Times New Roman" w:eastAsia="Times New Roman" w:hAnsi="Times New Roman" w:cs="Times New Roman"/>
          <w:sz w:val="24"/>
          <w:szCs w:val="24"/>
        </w:rPr>
        <w:t xml:space="preserve">MHC’s new Chief Diversity Officer, </w:t>
      </w:r>
      <w:r w:rsidR="00686DED">
        <w:rPr>
          <w:rFonts w:ascii="Times New Roman" w:eastAsia="Times New Roman" w:hAnsi="Times New Roman" w:cs="Times New Roman"/>
          <w:sz w:val="24"/>
          <w:szCs w:val="24"/>
        </w:rPr>
        <w:t xml:space="preserve">Kijua Sanders-McMurtry, to whom </w:t>
      </w:r>
      <w:r>
        <w:rPr>
          <w:rFonts w:ascii="Times New Roman" w:eastAsia="Times New Roman" w:hAnsi="Times New Roman" w:cs="Times New Roman"/>
          <w:sz w:val="24"/>
          <w:szCs w:val="24"/>
        </w:rPr>
        <w:t>we</w:t>
      </w:r>
      <w:r w:rsidR="00686DED">
        <w:rPr>
          <w:rFonts w:ascii="Times New Roman" w:eastAsia="Times New Roman" w:hAnsi="Times New Roman" w:cs="Times New Roman"/>
          <w:sz w:val="24"/>
          <w:szCs w:val="24"/>
        </w:rPr>
        <w:t xml:space="preserve"> will </w:t>
      </w:r>
      <w:r w:rsidR="002A0818">
        <w:rPr>
          <w:rFonts w:ascii="Times New Roman" w:eastAsia="Times New Roman" w:hAnsi="Times New Roman" w:cs="Times New Roman"/>
          <w:sz w:val="24"/>
          <w:szCs w:val="24"/>
        </w:rPr>
        <w:t>turn</w:t>
      </w:r>
      <w:r w:rsidR="00686DED">
        <w:rPr>
          <w:rFonts w:ascii="Times New Roman" w:eastAsia="Times New Roman" w:hAnsi="Times New Roman" w:cs="Times New Roman"/>
          <w:sz w:val="24"/>
          <w:szCs w:val="24"/>
        </w:rPr>
        <w:t xml:space="preserve"> for guidance about </w:t>
      </w:r>
      <w:r w:rsidR="0060028D">
        <w:rPr>
          <w:rFonts w:ascii="Times New Roman" w:eastAsia="Times New Roman" w:hAnsi="Times New Roman" w:cs="Times New Roman"/>
          <w:sz w:val="24"/>
          <w:szCs w:val="24"/>
        </w:rPr>
        <w:t>the committee’s</w:t>
      </w:r>
      <w:r w:rsidR="00686DED">
        <w:rPr>
          <w:rFonts w:ascii="Times New Roman" w:eastAsia="Times New Roman" w:hAnsi="Times New Roman" w:cs="Times New Roman"/>
          <w:sz w:val="24"/>
          <w:szCs w:val="24"/>
        </w:rPr>
        <w:t xml:space="preserve"> future</w:t>
      </w:r>
      <w:r>
        <w:rPr>
          <w:rFonts w:ascii="Times New Roman" w:eastAsia="Times New Roman" w:hAnsi="Times New Roman" w:cs="Times New Roman"/>
          <w:sz w:val="24"/>
          <w:szCs w:val="24"/>
        </w:rPr>
        <w:t xml:space="preserve"> tasks</w:t>
      </w:r>
      <w:r w:rsidR="00686D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77C3D">
        <w:rPr>
          <w:rFonts w:ascii="Times New Roman" w:eastAsia="Times New Roman" w:hAnsi="Times New Roman" w:cs="Times New Roman"/>
          <w:sz w:val="24"/>
          <w:szCs w:val="24"/>
        </w:rPr>
        <w:t xml:space="preserve">Goals for next year include </w:t>
      </w:r>
      <w:r>
        <w:rPr>
          <w:rFonts w:ascii="Times New Roman" w:eastAsia="Times New Roman" w:hAnsi="Times New Roman" w:cs="Times New Roman"/>
          <w:sz w:val="24"/>
          <w:szCs w:val="24"/>
        </w:rPr>
        <w:t>further clarifying</w:t>
      </w:r>
      <w:r w:rsidR="00477C3D">
        <w:rPr>
          <w:rFonts w:ascii="Times New Roman" w:eastAsia="Times New Roman" w:hAnsi="Times New Roman" w:cs="Times New Roman"/>
          <w:sz w:val="24"/>
          <w:szCs w:val="24"/>
        </w:rPr>
        <w:t xml:space="preserve"> our role in the context of expanded emphasis on diversity, equity, and inclusion in relation to President Stephens’s Strategic Plan. </w:t>
      </w:r>
      <w:r>
        <w:rPr>
          <w:rFonts w:ascii="Times New Roman" w:eastAsia="Times New Roman" w:hAnsi="Times New Roman" w:cs="Times New Roman"/>
          <w:sz w:val="24"/>
          <w:szCs w:val="24"/>
        </w:rPr>
        <w:t xml:space="preserve"> The MCCL will continue to address concerns related to recruitment and retention of diverse faculty and staff and hopes to collaborate with Human Resources to develop new mechanisms for supporting faculty and staff of color.  </w:t>
      </w:r>
      <w:r w:rsidR="00231CD6">
        <w:rPr>
          <w:rFonts w:ascii="Times New Roman" w:eastAsia="Times New Roman" w:hAnsi="Times New Roman" w:cs="Times New Roman"/>
          <w:sz w:val="24"/>
          <w:szCs w:val="24"/>
        </w:rPr>
        <w:t xml:space="preserve">The committee will also discuss </w:t>
      </w:r>
      <w:r w:rsidR="000F6764">
        <w:rPr>
          <w:rFonts w:ascii="Times New Roman" w:eastAsia="Times New Roman" w:hAnsi="Times New Roman" w:cs="Times New Roman"/>
          <w:sz w:val="24"/>
          <w:szCs w:val="24"/>
        </w:rPr>
        <w:t xml:space="preserve">our </w:t>
      </w:r>
      <w:r w:rsidR="0019586E">
        <w:rPr>
          <w:rFonts w:ascii="Times New Roman" w:eastAsia="Times New Roman" w:hAnsi="Times New Roman" w:cs="Times New Roman"/>
          <w:sz w:val="24"/>
          <w:szCs w:val="24"/>
        </w:rPr>
        <w:t xml:space="preserve">advisory </w:t>
      </w:r>
      <w:r w:rsidR="000F6764">
        <w:rPr>
          <w:rFonts w:ascii="Times New Roman" w:eastAsia="Times New Roman" w:hAnsi="Times New Roman" w:cs="Times New Roman"/>
          <w:sz w:val="24"/>
          <w:szCs w:val="24"/>
        </w:rPr>
        <w:t>role</w:t>
      </w:r>
      <w:r w:rsidR="0019586E">
        <w:rPr>
          <w:rFonts w:ascii="Times New Roman" w:eastAsia="Times New Roman" w:hAnsi="Times New Roman" w:cs="Times New Roman"/>
          <w:sz w:val="24"/>
          <w:szCs w:val="24"/>
        </w:rPr>
        <w:t xml:space="preserve"> </w:t>
      </w:r>
      <w:r w:rsidR="00210F5B">
        <w:rPr>
          <w:rFonts w:ascii="Times New Roman" w:eastAsia="Times New Roman" w:hAnsi="Times New Roman" w:cs="Times New Roman"/>
          <w:sz w:val="24"/>
          <w:szCs w:val="24"/>
        </w:rPr>
        <w:t>in helping align</w:t>
      </w:r>
      <w:r w:rsidR="00CD1A9A">
        <w:rPr>
          <w:rFonts w:ascii="Times New Roman" w:eastAsia="Times New Roman" w:hAnsi="Times New Roman" w:cs="Times New Roman"/>
          <w:sz w:val="24"/>
          <w:szCs w:val="24"/>
        </w:rPr>
        <w:t xml:space="preserve"> the College’s DEI </w:t>
      </w:r>
      <w:r w:rsidR="00210F5B">
        <w:rPr>
          <w:rFonts w:ascii="Times New Roman" w:eastAsia="Times New Roman" w:hAnsi="Times New Roman" w:cs="Times New Roman"/>
          <w:sz w:val="24"/>
          <w:szCs w:val="24"/>
        </w:rPr>
        <w:t xml:space="preserve">initiatives </w:t>
      </w:r>
      <w:r w:rsidR="00CD1A9A">
        <w:rPr>
          <w:rFonts w:ascii="Times New Roman" w:eastAsia="Times New Roman" w:hAnsi="Times New Roman" w:cs="Times New Roman"/>
          <w:sz w:val="24"/>
          <w:szCs w:val="24"/>
        </w:rPr>
        <w:t xml:space="preserve">with its </w:t>
      </w:r>
      <w:r w:rsidR="00231CD6">
        <w:rPr>
          <w:rFonts w:ascii="Times New Roman" w:eastAsia="Times New Roman" w:hAnsi="Times New Roman" w:cs="Times New Roman"/>
          <w:sz w:val="24"/>
          <w:szCs w:val="24"/>
        </w:rPr>
        <w:t xml:space="preserve">publicity materials.  </w:t>
      </w:r>
      <w:r>
        <w:rPr>
          <w:rFonts w:ascii="Times New Roman" w:eastAsia="Times New Roman" w:hAnsi="Times New Roman" w:cs="Times New Roman"/>
          <w:sz w:val="24"/>
          <w:szCs w:val="24"/>
        </w:rPr>
        <w:t xml:space="preserve">Finally, we hope to </w:t>
      </w:r>
      <w:r w:rsidR="00235A23">
        <w:rPr>
          <w:rFonts w:ascii="Times New Roman" w:eastAsia="Times New Roman" w:hAnsi="Times New Roman" w:cs="Times New Roman"/>
          <w:sz w:val="24"/>
          <w:szCs w:val="24"/>
        </w:rPr>
        <w:t xml:space="preserve">reach out to </w:t>
      </w:r>
      <w:r w:rsidR="0095182F">
        <w:rPr>
          <w:rFonts w:ascii="Times New Roman" w:eastAsia="Times New Roman" w:hAnsi="Times New Roman" w:cs="Times New Roman"/>
          <w:sz w:val="24"/>
          <w:szCs w:val="24"/>
        </w:rPr>
        <w:t>individual</w:t>
      </w:r>
      <w:r w:rsidR="00235A23">
        <w:rPr>
          <w:rFonts w:ascii="Times New Roman" w:eastAsia="Times New Roman" w:hAnsi="Times New Roman" w:cs="Times New Roman"/>
          <w:sz w:val="24"/>
          <w:szCs w:val="24"/>
        </w:rPr>
        <w:t xml:space="preserve"> student, faculty, and staff groups to partici</w:t>
      </w:r>
      <w:r w:rsidR="00A26C8A">
        <w:rPr>
          <w:rFonts w:ascii="Times New Roman" w:eastAsia="Times New Roman" w:hAnsi="Times New Roman" w:cs="Times New Roman"/>
          <w:sz w:val="24"/>
          <w:szCs w:val="24"/>
        </w:rPr>
        <w:t xml:space="preserve">pate in </w:t>
      </w:r>
      <w:r>
        <w:rPr>
          <w:rFonts w:ascii="Times New Roman" w:eastAsia="Times New Roman" w:hAnsi="Times New Roman" w:cs="Times New Roman"/>
          <w:sz w:val="24"/>
          <w:szCs w:val="24"/>
        </w:rPr>
        <w:t>listening circl</w:t>
      </w:r>
      <w:r w:rsidR="00235A23">
        <w:rPr>
          <w:rFonts w:ascii="Times New Roman" w:eastAsia="Times New Roman" w:hAnsi="Times New Roman" w:cs="Times New Roman"/>
          <w:sz w:val="24"/>
          <w:szCs w:val="24"/>
        </w:rPr>
        <w:t>e</w:t>
      </w:r>
      <w:r w:rsidR="00A26C8A">
        <w:rPr>
          <w:rFonts w:ascii="Times New Roman" w:eastAsia="Times New Roman" w:hAnsi="Times New Roman" w:cs="Times New Roman"/>
          <w:sz w:val="24"/>
          <w:szCs w:val="24"/>
        </w:rPr>
        <w:t xml:space="preserve">s </w:t>
      </w:r>
      <w:r w:rsidR="00C562F7">
        <w:rPr>
          <w:rFonts w:ascii="Times New Roman" w:eastAsia="Times New Roman" w:hAnsi="Times New Roman" w:cs="Times New Roman"/>
          <w:sz w:val="24"/>
          <w:szCs w:val="24"/>
        </w:rPr>
        <w:t>next</w:t>
      </w:r>
      <w:r w:rsidR="00A26C8A">
        <w:rPr>
          <w:rFonts w:ascii="Times New Roman" w:eastAsia="Times New Roman" w:hAnsi="Times New Roman" w:cs="Times New Roman"/>
          <w:sz w:val="24"/>
          <w:szCs w:val="24"/>
        </w:rPr>
        <w:t xml:space="preserve"> year</w:t>
      </w:r>
      <w:r>
        <w:rPr>
          <w:rFonts w:ascii="Times New Roman" w:eastAsia="Times New Roman" w:hAnsi="Times New Roman" w:cs="Times New Roman"/>
          <w:sz w:val="24"/>
          <w:szCs w:val="24"/>
        </w:rPr>
        <w:t xml:space="preserve">.  </w:t>
      </w:r>
      <w:r w:rsidR="00477C3D">
        <w:rPr>
          <w:rFonts w:ascii="Times New Roman" w:eastAsia="Times New Roman" w:hAnsi="Times New Roman" w:cs="Times New Roman"/>
          <w:sz w:val="24"/>
          <w:szCs w:val="24"/>
        </w:rPr>
        <w:t xml:space="preserve"> </w:t>
      </w:r>
    </w:p>
    <w:sectPr w:rsidR="00FB64C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AA0A0" w14:textId="77777777" w:rsidR="002F2A81" w:rsidRDefault="002F2A81">
      <w:pPr>
        <w:spacing w:after="0" w:line="240" w:lineRule="auto"/>
      </w:pPr>
      <w:r>
        <w:separator/>
      </w:r>
    </w:p>
  </w:endnote>
  <w:endnote w:type="continuationSeparator" w:id="0">
    <w:p w14:paraId="53C5C553" w14:textId="77777777" w:rsidR="002F2A81" w:rsidRDefault="002F2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FE126" w14:textId="77777777" w:rsidR="00E731E3" w:rsidRDefault="00E731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60E0F" w14:textId="77777777" w:rsidR="00E731E3" w:rsidRDefault="00E731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7EF12" w14:textId="77777777" w:rsidR="00E731E3" w:rsidRDefault="00E73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36BC2" w14:textId="77777777" w:rsidR="002F2A81" w:rsidRDefault="002F2A81">
      <w:pPr>
        <w:spacing w:after="0" w:line="240" w:lineRule="auto"/>
      </w:pPr>
      <w:r>
        <w:separator/>
      </w:r>
    </w:p>
  </w:footnote>
  <w:footnote w:type="continuationSeparator" w:id="0">
    <w:p w14:paraId="0EE5DB79" w14:textId="77777777" w:rsidR="002F2A81" w:rsidRDefault="002F2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EEAAE" w14:textId="77777777" w:rsidR="00E731E3" w:rsidRDefault="00E731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F71A0" w14:textId="77777777" w:rsidR="00FB64CE" w:rsidRDefault="004D6679">
    <w:pPr>
      <w:pStyle w:val="Normal1"/>
      <w:tabs>
        <w:tab w:val="center" w:pos="4680"/>
        <w:tab w:val="right" w:pos="9360"/>
      </w:tabs>
      <w:spacing w:before="720" w:after="0" w:line="240" w:lineRule="auto"/>
      <w:jc w:val="right"/>
    </w:pPr>
    <w:r>
      <w:fldChar w:fldCharType="begin"/>
    </w:r>
    <w:r>
      <w:instrText>PAGE</w:instrText>
    </w:r>
    <w:r>
      <w:fldChar w:fldCharType="separate"/>
    </w:r>
    <w:r w:rsidR="00231CD6">
      <w:rPr>
        <w:noProof/>
      </w:rPr>
      <w:t>2</w:t>
    </w:r>
    <w:r>
      <w:fldChar w:fldCharType="end"/>
    </w:r>
  </w:p>
  <w:p w14:paraId="4DB6F80B" w14:textId="77777777" w:rsidR="00FB64CE" w:rsidRDefault="00FB64CE">
    <w:pPr>
      <w:pStyle w:val="Normal1"/>
      <w:tabs>
        <w:tab w:val="center" w:pos="4680"/>
        <w:tab w:val="right" w:pos="936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93FE6" w14:textId="77777777" w:rsidR="00E731E3" w:rsidRDefault="00E731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4CE"/>
    <w:rsid w:val="00026B15"/>
    <w:rsid w:val="00051BB3"/>
    <w:rsid w:val="00052E1C"/>
    <w:rsid w:val="000F6764"/>
    <w:rsid w:val="00101134"/>
    <w:rsid w:val="0012549B"/>
    <w:rsid w:val="00150213"/>
    <w:rsid w:val="0016633D"/>
    <w:rsid w:val="0019586E"/>
    <w:rsid w:val="001A517A"/>
    <w:rsid w:val="00210F5B"/>
    <w:rsid w:val="00231CD6"/>
    <w:rsid w:val="00235A23"/>
    <w:rsid w:val="002A0818"/>
    <w:rsid w:val="002B640C"/>
    <w:rsid w:val="002D29D0"/>
    <w:rsid w:val="002F2A81"/>
    <w:rsid w:val="002F5552"/>
    <w:rsid w:val="00306433"/>
    <w:rsid w:val="0033378D"/>
    <w:rsid w:val="003B52A4"/>
    <w:rsid w:val="003C4A9D"/>
    <w:rsid w:val="003F6ECD"/>
    <w:rsid w:val="00430353"/>
    <w:rsid w:val="00472A17"/>
    <w:rsid w:val="00477C3D"/>
    <w:rsid w:val="004C6B2B"/>
    <w:rsid w:val="004D6679"/>
    <w:rsid w:val="0057277E"/>
    <w:rsid w:val="005866B5"/>
    <w:rsid w:val="005935C9"/>
    <w:rsid w:val="005952E7"/>
    <w:rsid w:val="005D00B2"/>
    <w:rsid w:val="0060028D"/>
    <w:rsid w:val="006152FB"/>
    <w:rsid w:val="006178FE"/>
    <w:rsid w:val="00686DED"/>
    <w:rsid w:val="006B178E"/>
    <w:rsid w:val="00700284"/>
    <w:rsid w:val="0076638B"/>
    <w:rsid w:val="007A3DE1"/>
    <w:rsid w:val="00804D8E"/>
    <w:rsid w:val="00814974"/>
    <w:rsid w:val="008420AC"/>
    <w:rsid w:val="00875792"/>
    <w:rsid w:val="008F5E00"/>
    <w:rsid w:val="008F7364"/>
    <w:rsid w:val="0095182F"/>
    <w:rsid w:val="009F049C"/>
    <w:rsid w:val="00A15F91"/>
    <w:rsid w:val="00A26C8A"/>
    <w:rsid w:val="00A65F1B"/>
    <w:rsid w:val="00A6676B"/>
    <w:rsid w:val="00A7499F"/>
    <w:rsid w:val="00AF6C14"/>
    <w:rsid w:val="00B00C50"/>
    <w:rsid w:val="00B02216"/>
    <w:rsid w:val="00B875A0"/>
    <w:rsid w:val="00C26CAC"/>
    <w:rsid w:val="00C562F7"/>
    <w:rsid w:val="00CD1A9A"/>
    <w:rsid w:val="00CE7EB3"/>
    <w:rsid w:val="00D83EB6"/>
    <w:rsid w:val="00E528B3"/>
    <w:rsid w:val="00E62C86"/>
    <w:rsid w:val="00E731E3"/>
    <w:rsid w:val="00E85FDD"/>
    <w:rsid w:val="00F3444F"/>
    <w:rsid w:val="00F82222"/>
    <w:rsid w:val="00FB64CE"/>
    <w:rsid w:val="00FC2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0B56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Mar>
          <w:top w:w="0" w:type="dxa"/>
          <w:left w:w="115" w:type="dxa"/>
          <w:bottom w:w="0" w:type="dxa"/>
          <w:right w:w="115" w:type="dxa"/>
        </w:tcMar>
      </w:tcPr>
    </w:tblStylePr>
    <w:tblStylePr w:type="lastRow">
      <w:rPr>
        <w:b/>
      </w:rPr>
      <w:tblPr/>
      <w:tcPr>
        <w:tcBorders>
          <w:top w:val="single" w:sz="4" w:space="0" w:color="000000"/>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CCCCCC"/>
        <w:tcMar>
          <w:top w:w="0" w:type="dxa"/>
          <w:left w:w="115" w:type="dxa"/>
          <w:bottom w:w="0" w:type="dxa"/>
          <w:right w:w="115" w:type="dxa"/>
        </w:tcMar>
      </w:tcPr>
    </w:tblStylePr>
    <w:tblStylePr w:type="band1Horz">
      <w:tblPr/>
      <w:tcPr>
        <w:shd w:val="clear" w:color="auto" w:fill="CCCCCC"/>
        <w:tcMar>
          <w:top w:w="0" w:type="dxa"/>
          <w:left w:w="115" w:type="dxa"/>
          <w:bottom w:w="0" w:type="dxa"/>
          <w:right w:w="115" w:type="dxa"/>
        </w:tcMar>
      </w:tcPr>
    </w:tblStylePr>
  </w:style>
  <w:style w:type="table" w:customStyle="1" w:styleId="a0">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Mar>
          <w:top w:w="0" w:type="dxa"/>
          <w:left w:w="115" w:type="dxa"/>
          <w:bottom w:w="0" w:type="dxa"/>
          <w:right w:w="115" w:type="dxa"/>
        </w:tcMar>
      </w:tcPr>
    </w:tblStylePr>
    <w:tblStylePr w:type="lastRow">
      <w:rPr>
        <w:b/>
      </w:rPr>
      <w:tblPr/>
      <w:tcPr>
        <w:tcBorders>
          <w:top w:val="single" w:sz="4" w:space="0" w:color="000000"/>
        </w:tcBorders>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shd w:val="clear" w:color="auto" w:fill="CCCCCC"/>
        <w:tcMar>
          <w:top w:w="0" w:type="dxa"/>
          <w:left w:w="115" w:type="dxa"/>
          <w:bottom w:w="0" w:type="dxa"/>
          <w:right w:w="115" w:type="dxa"/>
        </w:tcMar>
      </w:tcPr>
    </w:tblStylePr>
    <w:tblStylePr w:type="band1Horz">
      <w:tblPr/>
      <w:tcPr>
        <w:shd w:val="clear" w:color="auto" w:fill="CCCCCC"/>
        <w:tcMar>
          <w:top w:w="0" w:type="dxa"/>
          <w:left w:w="115" w:type="dxa"/>
          <w:bottom w:w="0" w:type="dxa"/>
          <w:right w:w="115" w:type="dxa"/>
        </w:tcMar>
      </w:tcPr>
    </w:tblStylePr>
  </w:style>
  <w:style w:type="table" w:styleId="GridTable4">
    <w:name w:val="Grid Table 4"/>
    <w:basedOn w:val="TableNormal"/>
    <w:uiPriority w:val="49"/>
    <w:rsid w:val="008F5E0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E73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1E3"/>
  </w:style>
  <w:style w:type="paragraph" w:styleId="Footer">
    <w:name w:val="footer"/>
    <w:basedOn w:val="Normal"/>
    <w:link w:val="FooterChar"/>
    <w:uiPriority w:val="99"/>
    <w:unhideWhenUsed/>
    <w:rsid w:val="00E73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tholyoke.edu/diversity-and-inclusion/multicultural_lif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Wesley Yu</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Donna Van Handle</cp:lastModifiedBy>
  <cp:revision>2</cp:revision>
  <cp:lastPrinted>2019-08-23T15:00:00Z</cp:lastPrinted>
  <dcterms:created xsi:type="dcterms:W3CDTF">2019-08-23T15:20:00Z</dcterms:created>
  <dcterms:modified xsi:type="dcterms:W3CDTF">2019-08-23T15:20:00Z</dcterms:modified>
</cp:coreProperties>
</file>