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A7" w:rsidRPr="00F46AA7" w:rsidRDefault="00F46AA7" w:rsidP="00F46AA7">
      <w:pPr>
        <w:shd w:val="clear" w:color="auto" w:fill="FFFFFF"/>
        <w:spacing w:after="0" w:line="240" w:lineRule="auto"/>
        <w:textAlignment w:val="baseline"/>
        <w:outlineLvl w:val="0"/>
        <w:rPr>
          <w:rFonts w:ascii="ProximaNova-Bold-webfont" w:eastAsia="Times New Roman" w:hAnsi="ProximaNova-Bold-webfont" w:cs="Times New Roman"/>
          <w:color w:val="2F2A26"/>
          <w:kern w:val="36"/>
          <w:sz w:val="48"/>
          <w:szCs w:val="48"/>
        </w:rPr>
      </w:pPr>
      <w:r w:rsidRPr="00F46AA7">
        <w:rPr>
          <w:rFonts w:ascii="ProximaNova-Bold-webfont" w:eastAsia="Times New Roman" w:hAnsi="ProximaNova-Bold-webfont" w:cs="Times New Roman"/>
          <w:color w:val="2F2A26"/>
          <w:kern w:val="36"/>
          <w:sz w:val="48"/>
          <w:szCs w:val="48"/>
        </w:rPr>
        <w:t>Clery Crimes and Definitions</w:t>
      </w:r>
    </w:p>
    <w:p w:rsidR="00F46AA7" w:rsidRPr="00F46AA7" w:rsidRDefault="00F46AA7" w:rsidP="00F46AA7">
      <w:pPr>
        <w:shd w:val="clear" w:color="auto" w:fill="FFFFFF"/>
        <w:spacing w:before="100" w:beforeAutospacing="1" w:after="100" w:afterAutospacing="1" w:line="240" w:lineRule="auto"/>
        <w:textAlignment w:val="baseline"/>
        <w:outlineLvl w:val="1"/>
        <w:rPr>
          <w:rFonts w:ascii="ProximaNova-Bold-webfont" w:eastAsia="Times New Roman" w:hAnsi="ProximaNova-Bold-webfont" w:cs="Times New Roman"/>
          <w:color w:val="2F2A26"/>
          <w:sz w:val="36"/>
          <w:szCs w:val="36"/>
        </w:rPr>
      </w:pPr>
      <w:r w:rsidRPr="00F46AA7">
        <w:rPr>
          <w:rFonts w:ascii="ProximaNova-Bold-webfont" w:eastAsia="Times New Roman" w:hAnsi="ProximaNova-Bold-webfont" w:cs="Times New Roman"/>
          <w:color w:val="2F2A26"/>
          <w:sz w:val="36"/>
          <w:szCs w:val="36"/>
        </w:rPr>
        <w:t>Part 1 – Primary Crimes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 MURDER AND NON-NEGLIGENT MANSLAUGHTER</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willful (non-negligent) killing of one human being by another.</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2. NEGLIGENT MANSLAUGHTER</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killing of another person through gross negligence.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3. AGGRAVATED ASSAULT</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An unlawful attack by one person upon another for inflicting severe or aggravated bodily injury. This type of assault usually is accompanied by the use of a weapon or by means likely to produce death or great bodily harm. Simple assaults are excluded.</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4. ARSON</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Any willful or malicious burning or attempt to burn, with or without intent to defraud, a dwelling house, public building, motor vehicle or aircraft, personal property of another, etc.</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Note that only fires determined through investigation to have been willfully or maliciously set are classified as arsons. Arson is therefore the only Clery Act offense that must be investigated before it can be disclosed. If other Clery Act offenses were committed during the arson incident, the most serious is counted in addition to the arson.</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5. BURGLARY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unlawful entry of a structure to commit a felony or a theft. Attempted forcible entry is included.</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6. ROBBERY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taking or attempting to take anything of value from the care, custody, or control of a person or persons by force or threat of force or violence and/or by putting the victim in fear.</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7. MOTOR VEHICLE THEFT</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lastRenderedPageBreak/>
        <w:t>The theft or attempted theft of a motor vehicle. A motor vehicle is self-propelled and runs on the surface and not on rails. Motorboats, construction equipment, airplanes, and farming equipment are specifically excluded from this category.</w:t>
      </w:r>
    </w:p>
    <w:p w:rsidR="00F46AA7" w:rsidRPr="00F46AA7" w:rsidRDefault="00F46AA7" w:rsidP="00F46AA7">
      <w:pPr>
        <w:shd w:val="clear" w:color="auto" w:fill="FFFFFF"/>
        <w:spacing w:before="100" w:beforeAutospacing="1" w:after="100" w:afterAutospacing="1" w:line="240" w:lineRule="auto"/>
        <w:textAlignment w:val="baseline"/>
        <w:outlineLvl w:val="2"/>
        <w:rPr>
          <w:rFonts w:ascii="ProximaNova-Bold-webfont" w:eastAsia="Times New Roman" w:hAnsi="ProximaNova-Bold-webfont" w:cs="Times New Roman"/>
          <w:color w:val="2F2A26"/>
          <w:sz w:val="27"/>
          <w:szCs w:val="27"/>
        </w:rPr>
      </w:pPr>
      <w:r w:rsidRPr="00F46AA7">
        <w:rPr>
          <w:rFonts w:ascii="ProximaNova-Bold-webfont" w:eastAsia="Times New Roman" w:hAnsi="ProximaNova-Bold-webfont" w:cs="Times New Roman"/>
          <w:color w:val="2F2A26"/>
          <w:sz w:val="27"/>
          <w:szCs w:val="27"/>
        </w:rPr>
        <w:t>Sex Offenses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Clery Act has four defined sex offenses for which crime statistics must be collected on Clery geography. They are rape, fondling, incest and statutory rape.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8. RAPE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penetration, no matter how slight, of the vagina or anus with any body part or object, or oral penetration by a sex organ of another person, without the consent of the victim.</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9. FONDLING</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touching of the private body parts of another person for the purpose of sexual</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Gratification, without the consent of the victim, including instances where the victim is incapable of giving consent because of his/her age and/or because of his/her temporary or permanent mental incapacity.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10. INCEST</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Non-forcible sexual intercourse between persons who are related to each other within the degrees wherein marriage is prohibited by law.</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11. Statutory Rape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Non-forcible sexual intercourse with a person who is under the statutory age of consent.</w:t>
      </w:r>
    </w:p>
    <w:p w:rsidR="00F46AA7" w:rsidRPr="00F46AA7" w:rsidRDefault="00F46AA7" w:rsidP="00F46AA7">
      <w:pPr>
        <w:shd w:val="clear" w:color="auto" w:fill="FFFFFF"/>
        <w:spacing w:before="100" w:beforeAutospacing="1" w:after="100" w:afterAutospacing="1" w:line="240" w:lineRule="auto"/>
        <w:textAlignment w:val="baseline"/>
        <w:outlineLvl w:val="1"/>
        <w:rPr>
          <w:rFonts w:ascii="ProximaNova-Bold-webfont" w:eastAsia="Times New Roman" w:hAnsi="ProximaNova-Bold-webfont" w:cs="Times New Roman"/>
          <w:color w:val="2F2A26"/>
          <w:sz w:val="36"/>
          <w:szCs w:val="36"/>
        </w:rPr>
      </w:pPr>
      <w:r w:rsidRPr="00F46AA7">
        <w:rPr>
          <w:rFonts w:ascii="ProximaNova-Bold-webfont" w:eastAsia="Times New Roman" w:hAnsi="ProximaNova-Bold-webfont" w:cs="Times New Roman"/>
          <w:color w:val="2F2A26"/>
          <w:sz w:val="36"/>
          <w:szCs w:val="36"/>
        </w:rPr>
        <w:t>Part 2 – Alcohol, drug and weapon violations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Clery Act requires institutions collect statistics for violations of state law and or ordinances for drug, alcohol and weapons violations.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12. LIQUOR LAW VIOLATIONS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 xml:space="preserve">The violation of laws or ordinances prohibiting: the manufacture, sale, transporting, furnishing, possessing of intoxicating liquor; maintaining unlawful drinking places; </w:t>
      </w:r>
      <w:r w:rsidRPr="00F46AA7">
        <w:rPr>
          <w:rFonts w:ascii="inherit" w:eastAsia="Times New Roman" w:hAnsi="inherit" w:cs="Times New Roman"/>
          <w:color w:val="2F2A26"/>
          <w:sz w:val="27"/>
          <w:szCs w:val="27"/>
        </w:rPr>
        <w:lastRenderedPageBreak/>
        <w:t>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13. WEAPONS POSSESSION</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14. DRUG ABUSE VIOLATIONS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w:t>
      </w:r>
    </w:p>
    <w:p w:rsidR="00F46AA7" w:rsidRPr="00F46AA7" w:rsidRDefault="00F46AA7" w:rsidP="00F46AA7">
      <w:pPr>
        <w:shd w:val="clear" w:color="auto" w:fill="FFFFFF"/>
        <w:spacing w:before="100" w:beforeAutospacing="1" w:after="100" w:afterAutospacing="1" w:line="240" w:lineRule="auto"/>
        <w:textAlignment w:val="baseline"/>
        <w:outlineLvl w:val="1"/>
        <w:rPr>
          <w:rFonts w:ascii="ProximaNova-Bold-webfont" w:eastAsia="Times New Roman" w:hAnsi="ProximaNova-Bold-webfont" w:cs="Times New Roman"/>
          <w:color w:val="2F2A26"/>
          <w:sz w:val="36"/>
          <w:szCs w:val="36"/>
        </w:rPr>
      </w:pPr>
      <w:r w:rsidRPr="00F46AA7">
        <w:rPr>
          <w:rFonts w:ascii="ProximaNova-Bold-webfont" w:eastAsia="Times New Roman" w:hAnsi="ProximaNova-Bold-webfont" w:cs="Times New Roman"/>
          <w:color w:val="2F2A26"/>
          <w:sz w:val="36"/>
          <w:szCs w:val="36"/>
        </w:rPr>
        <w:t>Part 3 – Hate Crimes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Clery Act requires institutions collect crime statistics for hates crime associated with the commission of a primary crime or the lesser offenses of larceny-theft, simple assault, intimidation, destruction of or vandalism of a buildings or property.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15. HATE CRIMES</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A</w:t>
      </w:r>
      <w:r w:rsidRPr="00F46AA7">
        <w:rPr>
          <w:rFonts w:ascii="ProximaNova-Bold-webfont" w:eastAsia="Times New Roman" w:hAnsi="ProximaNova-Bold-webfont" w:cs="Times New Roman"/>
          <w:color w:val="2F2A26"/>
          <w:sz w:val="27"/>
          <w:szCs w:val="27"/>
          <w:bdr w:val="none" w:sz="0" w:space="0" w:color="auto" w:frame="1"/>
        </w:rPr>
        <w:t> Hate Crime </w:t>
      </w:r>
      <w:r w:rsidRPr="00F46AA7">
        <w:rPr>
          <w:rFonts w:ascii="inherit" w:eastAsia="Times New Roman" w:hAnsi="inherit" w:cs="Times New Roman"/>
          <w:color w:val="2F2A26"/>
          <w:sz w:val="27"/>
          <w:szCs w:val="27"/>
        </w:rPr>
        <w:t>is </w:t>
      </w:r>
      <w:r w:rsidRPr="00F46AA7">
        <w:rPr>
          <w:rFonts w:ascii="inherit" w:eastAsia="Times New Roman" w:hAnsi="inherit" w:cs="Times New Roman"/>
          <w:i/>
          <w:iCs/>
          <w:color w:val="2F2A26"/>
          <w:sz w:val="27"/>
          <w:szCs w:val="27"/>
          <w:bdr w:val="none" w:sz="0" w:space="0" w:color="auto" w:frame="1"/>
        </w:rPr>
        <w:t>a criminal offense that manifests evidence that the victim was intentionally selected because of the perpetrator’s bias against the victim.</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Under the </w:t>
      </w:r>
      <w:r w:rsidRPr="00F46AA7">
        <w:rPr>
          <w:rFonts w:ascii="inherit" w:eastAsia="Times New Roman" w:hAnsi="inherit" w:cs="Times New Roman"/>
          <w:i/>
          <w:iCs/>
          <w:color w:val="2F2A26"/>
          <w:sz w:val="27"/>
          <w:szCs w:val="27"/>
          <w:bdr w:val="none" w:sz="0" w:space="0" w:color="auto" w:frame="1"/>
        </w:rPr>
        <w:t>Clery Act</w:t>
      </w:r>
      <w:r w:rsidRPr="00F46AA7">
        <w:rPr>
          <w:rFonts w:ascii="inherit" w:eastAsia="Times New Roman" w:hAnsi="inherit" w:cs="Times New Roman"/>
          <w:color w:val="2F2A26"/>
          <w:sz w:val="27"/>
          <w:szCs w:val="27"/>
        </w:rPr>
        <w:t>, Hate Crimes include any of the following offenses motivated by bias: Murder and Non-negligent Manslaughter, Sexual Assault, Robbery, Aggravated Assault, Burglary, Motor Vehicle Theft, Arson, Larceny-Theft, Simple Assault, Intimidation, Destruction/Damage/Vandalism of Property. Larceny-Theft, Simple Assault, Intimidation, and Destruction/Damage/Vandalism of Property are included in your </w:t>
      </w:r>
      <w:r w:rsidRPr="00F46AA7">
        <w:rPr>
          <w:rFonts w:ascii="inherit" w:eastAsia="Times New Roman" w:hAnsi="inherit" w:cs="Times New Roman"/>
          <w:i/>
          <w:iCs/>
          <w:color w:val="2F2A26"/>
          <w:sz w:val="27"/>
          <w:szCs w:val="27"/>
          <w:bdr w:val="none" w:sz="0" w:space="0" w:color="auto" w:frame="1"/>
        </w:rPr>
        <w:t>Clery Act </w:t>
      </w:r>
      <w:r w:rsidRPr="00F46AA7">
        <w:rPr>
          <w:rFonts w:ascii="inherit" w:eastAsia="Times New Roman" w:hAnsi="inherit" w:cs="Times New Roman"/>
          <w:color w:val="2F2A26"/>
          <w:sz w:val="27"/>
          <w:szCs w:val="27"/>
        </w:rPr>
        <w:t>statistics only if they are Hate Crimes</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i/>
          <w:iCs/>
          <w:color w:val="2F2A26"/>
          <w:sz w:val="27"/>
          <w:szCs w:val="27"/>
          <w:bdr w:val="none" w:sz="0" w:space="0" w:color="auto" w:frame="1"/>
        </w:rPr>
        <w:t>Larceny-theft</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The unlawful taking, carrying, leading, or riding away of property from the possession or constructive possession of another.</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i/>
          <w:iCs/>
          <w:color w:val="2F2A26"/>
          <w:sz w:val="27"/>
          <w:szCs w:val="27"/>
          <w:bdr w:val="none" w:sz="0" w:space="0" w:color="auto" w:frame="1"/>
        </w:rPr>
        <w:lastRenderedPageBreak/>
        <w:t>Simple Assault</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An unlawful physical attack by one person on another where neither the offender displays a weapon, nor the victim suffers obvious severe or aggravated bodily injury involving apparent broken bones, loss of teeth, possible internal injury, severe laceration, or loss of consciousness.</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i/>
          <w:iCs/>
          <w:color w:val="2F2A26"/>
          <w:sz w:val="27"/>
          <w:szCs w:val="27"/>
          <w:bdr w:val="none" w:sz="0" w:space="0" w:color="auto" w:frame="1"/>
        </w:rPr>
        <w:t>Intimidation</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To unlawfully place another person in reasonable fear of bodily, harm with threatening words and/or conduct, but without displaying a weapon or subjecting the victim to actual attack. Includes cyber-intimidation if victim is threatened on Clery geography.</w:t>
      </w:r>
    </w:p>
    <w:p w:rsidR="00F46AA7" w:rsidRPr="00F46AA7" w:rsidRDefault="00F46AA7" w:rsidP="00F46AA7">
      <w:pPr>
        <w:shd w:val="clear" w:color="auto" w:fill="FFFFFF"/>
        <w:spacing w:beforeAutospacing="1" w:after="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i/>
          <w:iCs/>
          <w:color w:val="2F2A26"/>
          <w:sz w:val="27"/>
          <w:szCs w:val="27"/>
          <w:bdr w:val="none" w:sz="0" w:space="0" w:color="auto" w:frame="1"/>
        </w:rPr>
        <w:t>Destruction, damage or vandalism of property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To willfully or maliciously destroy, damage, deface, or otherwise injure real or personal property without the consent of the owner or the person having custody or control of the property.</w:t>
      </w:r>
    </w:p>
    <w:p w:rsidR="00F46AA7" w:rsidRPr="00F46AA7" w:rsidRDefault="00F46AA7" w:rsidP="00F46AA7">
      <w:pPr>
        <w:shd w:val="clear" w:color="auto" w:fill="FFFFFF"/>
        <w:spacing w:before="100" w:beforeAutospacing="1" w:after="100" w:afterAutospacing="1" w:line="240" w:lineRule="auto"/>
        <w:textAlignment w:val="baseline"/>
        <w:outlineLvl w:val="1"/>
        <w:rPr>
          <w:rFonts w:ascii="ProximaNova-Bold-webfont" w:eastAsia="Times New Roman" w:hAnsi="ProximaNova-Bold-webfont" w:cs="Times New Roman"/>
          <w:color w:val="2F2A26"/>
          <w:sz w:val="36"/>
          <w:szCs w:val="36"/>
        </w:rPr>
      </w:pPr>
      <w:r w:rsidRPr="00F46AA7">
        <w:rPr>
          <w:rFonts w:ascii="ProximaNova-Bold-webfont" w:eastAsia="Times New Roman" w:hAnsi="ProximaNova-Bold-webfont" w:cs="Times New Roman"/>
          <w:color w:val="2F2A26"/>
          <w:sz w:val="36"/>
          <w:szCs w:val="36"/>
        </w:rPr>
        <w:t>Part 4: Violence Against Women Act (2013) Crimes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16. Domestic Violence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17. Dating Violence</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Violence committed by a person who is or has been in a social relationship of a romantic or intimate nature with the victim. The existence of such a relationship shall be determined based on the reporting party’s statement with consideration of the length of the relationship, the type of relationship, and the frequency of interaction between the persons involved in the relationship.</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18. Stalking</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lastRenderedPageBreak/>
        <w:t>Engaging in a course of conduct directed at a specific person that would cause a reasonable person to (1) fear for the person’s safety or the safety of others; or (2) suffer substantial emotional distress.</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Substantial emotional distress means significant mental suffering or anguish that may, but does not necessarily, require medical or other professional treatment or counseling.</w:t>
      </w:r>
    </w:p>
    <w:p w:rsidR="00F46AA7" w:rsidRPr="00F46AA7" w:rsidRDefault="00F46AA7" w:rsidP="00F46AA7">
      <w:pPr>
        <w:shd w:val="clear" w:color="auto" w:fill="FFFFFF"/>
        <w:spacing w:before="100" w:beforeAutospacing="1" w:after="100" w:afterAutospacing="1" w:line="240" w:lineRule="auto"/>
        <w:textAlignment w:val="baseline"/>
        <w:rPr>
          <w:rFonts w:ascii="inherit" w:eastAsia="Times New Roman" w:hAnsi="inherit" w:cs="Times New Roman"/>
          <w:color w:val="2F2A26"/>
          <w:sz w:val="27"/>
          <w:szCs w:val="27"/>
        </w:rPr>
      </w:pPr>
      <w:r w:rsidRPr="00F46AA7">
        <w:rPr>
          <w:rFonts w:ascii="inherit" w:eastAsia="Times New Roman" w:hAnsi="inherit" w:cs="Times New Roman"/>
          <w:color w:val="2F2A26"/>
          <w:sz w:val="27"/>
          <w:szCs w:val="27"/>
        </w:rPr>
        <w:t>Reasonable person means a reasonable person under similar circumstances and with similar identities to the victim.</w:t>
      </w:r>
      <w:bookmarkStart w:id="0" w:name="_GoBack"/>
      <w:bookmarkEnd w:id="0"/>
    </w:p>
    <w:p w:rsidR="00F46AA7" w:rsidRPr="00F46AA7" w:rsidRDefault="00F46AA7" w:rsidP="00F46AA7">
      <w:pPr>
        <w:shd w:val="clear" w:color="auto" w:fill="FFFFFF"/>
        <w:spacing w:after="0" w:line="240" w:lineRule="auto"/>
        <w:textAlignment w:val="baseline"/>
        <w:rPr>
          <w:rFonts w:ascii="ProximaNova-Reg-webfont" w:eastAsia="Times New Roman" w:hAnsi="ProximaNova-Reg-webfont" w:cs="Times New Roman"/>
          <w:color w:val="2F2A26"/>
          <w:sz w:val="27"/>
          <w:szCs w:val="27"/>
        </w:rPr>
      </w:pPr>
    </w:p>
    <w:p w:rsidR="00695F6F" w:rsidRPr="00F46AA7" w:rsidRDefault="00695F6F">
      <w:pPr>
        <w:rPr>
          <w:rFonts w:ascii="Times New Roman" w:hAnsi="Times New Roman" w:cs="Times New Roman"/>
          <w:sz w:val="24"/>
          <w:szCs w:val="24"/>
        </w:rPr>
      </w:pPr>
    </w:p>
    <w:sectPr w:rsidR="00695F6F" w:rsidRPr="00F4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Bold-webfon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roximaNova-Reg-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6261C"/>
    <w:multiLevelType w:val="multilevel"/>
    <w:tmpl w:val="671C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A7"/>
    <w:rsid w:val="00695F6F"/>
    <w:rsid w:val="00F4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EB27"/>
  <w15:chartTrackingRefBased/>
  <w15:docId w15:val="{18B0DB83-4535-4C9F-8200-2224E6C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A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A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6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AA7"/>
    <w:rPr>
      <w:b/>
      <w:bCs/>
    </w:rPr>
  </w:style>
  <w:style w:type="character" w:styleId="Emphasis">
    <w:name w:val="Emphasis"/>
    <w:basedOn w:val="DefaultParagraphFont"/>
    <w:uiPriority w:val="20"/>
    <w:qFormat/>
    <w:rsid w:val="00F46AA7"/>
    <w:rPr>
      <w:i/>
      <w:iCs/>
    </w:rPr>
  </w:style>
  <w:style w:type="character" w:styleId="Hyperlink">
    <w:name w:val="Hyperlink"/>
    <w:basedOn w:val="DefaultParagraphFont"/>
    <w:uiPriority w:val="99"/>
    <w:semiHidden/>
    <w:unhideWhenUsed/>
    <w:rsid w:val="00F46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39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9385">
          <w:marLeft w:val="0"/>
          <w:marRight w:val="305"/>
          <w:marTop w:val="0"/>
          <w:marBottom w:val="0"/>
          <w:divBdr>
            <w:top w:val="none" w:sz="0" w:space="0" w:color="auto"/>
            <w:left w:val="none" w:sz="0" w:space="0" w:color="auto"/>
            <w:bottom w:val="none" w:sz="0" w:space="0" w:color="auto"/>
            <w:right w:val="none" w:sz="0" w:space="0" w:color="auto"/>
          </w:divBdr>
          <w:divsChild>
            <w:div w:id="252326731">
              <w:marLeft w:val="0"/>
              <w:marRight w:val="0"/>
              <w:marTop w:val="0"/>
              <w:marBottom w:val="0"/>
              <w:divBdr>
                <w:top w:val="none" w:sz="0" w:space="0" w:color="auto"/>
                <w:left w:val="none" w:sz="0" w:space="0" w:color="auto"/>
                <w:bottom w:val="none" w:sz="0" w:space="0" w:color="auto"/>
                <w:right w:val="none" w:sz="0" w:space="0" w:color="auto"/>
              </w:divBdr>
            </w:div>
          </w:divsChild>
        </w:div>
        <w:div w:id="659312001">
          <w:marLeft w:val="0"/>
          <w:marRight w:val="0"/>
          <w:marTop w:val="0"/>
          <w:marBottom w:val="0"/>
          <w:divBdr>
            <w:top w:val="none" w:sz="0" w:space="0" w:color="auto"/>
            <w:left w:val="none" w:sz="0" w:space="0" w:color="auto"/>
            <w:bottom w:val="none" w:sz="0" w:space="0" w:color="auto"/>
            <w:right w:val="none" w:sz="0" w:space="0" w:color="auto"/>
          </w:divBdr>
          <w:divsChild>
            <w:div w:id="11927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mhcadmin</dc:creator>
  <cp:keywords/>
  <dc:description/>
  <cp:lastModifiedBy>mhcadmin</cp:lastModifiedBy>
  <cp:revision>1</cp:revision>
  <dcterms:created xsi:type="dcterms:W3CDTF">2021-03-19T20:00:00Z</dcterms:created>
  <dcterms:modified xsi:type="dcterms:W3CDTF">2021-03-19T20:04:00Z</dcterms:modified>
</cp:coreProperties>
</file>